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9824" w14:textId="3FAFAF20" w:rsidR="00543CDE" w:rsidRDefault="00543CDE" w:rsidP="00986435">
      <w:pPr>
        <w:pStyle w:val="CEBAppPrimaryHeading"/>
        <w:tabs>
          <w:tab w:val="right" w:pos="9900"/>
        </w:tabs>
        <w:spacing w:before="60"/>
        <w:rPr>
          <w:rFonts w:cs="Arial"/>
          <w:color w:val="000000"/>
          <w:lang w:val="en-GB"/>
        </w:rPr>
      </w:pPr>
      <w:r>
        <w:rPr>
          <w:rFonts w:cs="Arial"/>
          <w:color w:val="000000"/>
          <w:lang w:val="en-GB"/>
        </w:rPr>
        <w:t>Reuters Pension Fund</w:t>
      </w:r>
    </w:p>
    <w:p w14:paraId="4A6AA0DB" w14:textId="012C3024" w:rsidR="00986435" w:rsidRDefault="00986435" w:rsidP="00986435">
      <w:pPr>
        <w:pStyle w:val="CEBAppPrimaryHeading"/>
        <w:tabs>
          <w:tab w:val="right" w:pos="9900"/>
        </w:tabs>
        <w:spacing w:before="60"/>
        <w:rPr>
          <w:rFonts w:cs="Arial"/>
          <w:color w:val="000000"/>
          <w:lang w:val="en-GB"/>
        </w:rPr>
      </w:pPr>
      <w:r>
        <w:rPr>
          <w:rFonts w:cs="Arial"/>
          <w:color w:val="000000"/>
          <w:lang w:val="en-GB"/>
        </w:rPr>
        <w:t>Implementation Statement</w:t>
      </w:r>
      <w:r>
        <w:rPr>
          <w:rFonts w:cs="Arial"/>
          <w:color w:val="000000"/>
          <w:lang w:val="en-GB"/>
        </w:rPr>
        <w:tab/>
      </w:r>
    </w:p>
    <w:p w14:paraId="77A9C09B" w14:textId="77777777" w:rsidR="00986435" w:rsidRPr="006F2EE6" w:rsidRDefault="00986435" w:rsidP="00986435">
      <w:pPr>
        <w:pStyle w:val="CEBAppPrimaryHeading"/>
        <w:spacing w:before="60"/>
        <w:rPr>
          <w:rFonts w:cs="Arial"/>
          <w:b/>
          <w:sz w:val="20"/>
          <w:szCs w:val="20"/>
          <w:lang w:val="en-GB"/>
        </w:rPr>
      </w:pPr>
      <w:r w:rsidRPr="006F2EE6">
        <w:rPr>
          <w:rFonts w:cs="Arial"/>
          <w:b/>
          <w:sz w:val="20"/>
          <w:szCs w:val="20"/>
          <w:lang w:val="en-GB"/>
        </w:rPr>
        <w:t xml:space="preserve">Introduction </w:t>
      </w:r>
    </w:p>
    <w:p w14:paraId="464EEC59" w14:textId="77777777" w:rsidR="00986435" w:rsidRDefault="00986435" w:rsidP="00986435">
      <w:pPr>
        <w:pStyle w:val="CEBAppPrimaryHeading"/>
        <w:spacing w:before="60"/>
        <w:rPr>
          <w:rFonts w:cs="Arial"/>
          <w:color w:val="auto"/>
          <w:sz w:val="20"/>
          <w:szCs w:val="20"/>
          <w:lang w:val="en-GB"/>
        </w:rPr>
      </w:pPr>
      <w:r>
        <w:rPr>
          <w:rFonts w:cs="Arial"/>
          <w:color w:val="auto"/>
          <w:sz w:val="20"/>
          <w:szCs w:val="20"/>
          <w:lang w:val="en-GB"/>
        </w:rPr>
        <w:t>Under regulatory requirements in force, the Trustee is required to produce an annual Implementation Statement (the “Statement”) setting out how voting and engagement policies in the Statement of Investment Principles (the “SIP”) have been implemented. The Statement also includes a brief summary of updates to the SIP over the reporting period.</w:t>
      </w:r>
    </w:p>
    <w:p w14:paraId="5CCDFDDA" w14:textId="77777777" w:rsidR="00986435" w:rsidRDefault="00986435" w:rsidP="00986435">
      <w:pPr>
        <w:pStyle w:val="CEBAppPrimaryHeading"/>
        <w:spacing w:before="60"/>
        <w:rPr>
          <w:rFonts w:cs="Arial"/>
          <w:color w:val="auto"/>
          <w:sz w:val="20"/>
          <w:szCs w:val="20"/>
          <w:lang w:val="en-GB"/>
        </w:rPr>
      </w:pPr>
      <w:r>
        <w:rPr>
          <w:rFonts w:cs="Arial"/>
          <w:color w:val="auto"/>
          <w:sz w:val="20"/>
          <w:szCs w:val="20"/>
          <w:lang w:val="en-GB"/>
        </w:rPr>
        <w:t xml:space="preserve">This Statement has been prepared by the Trustee of the Reuters Pension Fund, covering the period 1 January 2022 to 31 December 2022. </w:t>
      </w:r>
    </w:p>
    <w:p w14:paraId="65908722" w14:textId="77777777" w:rsidR="00986435" w:rsidRPr="00752082" w:rsidRDefault="00986435" w:rsidP="00986435">
      <w:pPr>
        <w:pStyle w:val="CEBAppPrimaryHeading"/>
        <w:spacing w:before="60"/>
        <w:rPr>
          <w:rFonts w:cs="Arial"/>
          <w:color w:val="auto"/>
          <w:sz w:val="20"/>
          <w:szCs w:val="20"/>
          <w:lang w:val="en-GB"/>
        </w:rPr>
      </w:pPr>
      <w:r w:rsidRPr="00752082">
        <w:rPr>
          <w:rFonts w:cs="Arial"/>
          <w:color w:val="auto"/>
          <w:sz w:val="20"/>
          <w:szCs w:val="20"/>
          <w:lang w:val="en-GB"/>
        </w:rPr>
        <w:t>This Statement has been produced in accordance with the Occupational and Personal Pension Schemes (Disclosure of Information) Regulations 2013 the Pension Protection Fund (Pensionable Service) and Occupational Pension Schemes (Investment and Disclosure) (Amendment and Modification) Regulations 2018 and the Occupational Pension Schemes (Investment and Disclosure) (Amendment) Regulations 2019 as amended, and the guidance published by the Pensions Regulator.</w:t>
      </w:r>
    </w:p>
    <w:p w14:paraId="749D159D" w14:textId="77777777" w:rsidR="00986435" w:rsidRDefault="00986435" w:rsidP="00986435">
      <w:pPr>
        <w:pStyle w:val="CEBAppPrimaryHeading"/>
        <w:spacing w:before="60"/>
        <w:rPr>
          <w:rFonts w:cs="Arial"/>
          <w:color w:val="auto"/>
          <w:sz w:val="20"/>
          <w:szCs w:val="20"/>
          <w:lang w:val="en-GB"/>
        </w:rPr>
      </w:pPr>
      <w:r>
        <w:rPr>
          <w:rFonts w:cs="Arial"/>
          <w:color w:val="auto"/>
          <w:sz w:val="20"/>
          <w:szCs w:val="20"/>
          <w:lang w:val="en-GB"/>
        </w:rPr>
        <w:t>The Statement looks to set out how the Trustee’s policy on stewardship and engagement has been implemented during the reporting period. Where relevant, the Statement describes the areas of the portfolio where stewardship and engagement are most likely to be financially material. Disclosed is also the Trustee’s opinion on the outcomes of voting and engagement activity for managers that hold listed equities, where stewardship and engagement are most relevant within the portfolio.</w:t>
      </w:r>
    </w:p>
    <w:p w14:paraId="49532850" w14:textId="77777777" w:rsidR="00986435" w:rsidRDefault="00986435" w:rsidP="00986435">
      <w:pPr>
        <w:pStyle w:val="CEBAppPrimaryHeading"/>
        <w:spacing w:before="60"/>
        <w:rPr>
          <w:rFonts w:cs="Arial"/>
          <w:color w:val="auto"/>
          <w:sz w:val="20"/>
          <w:szCs w:val="20"/>
          <w:lang w:val="en-GB"/>
        </w:rPr>
      </w:pPr>
      <w:r>
        <w:rPr>
          <w:rFonts w:cs="Arial"/>
          <w:color w:val="auto"/>
          <w:sz w:val="20"/>
          <w:szCs w:val="20"/>
          <w:lang w:val="en-GB"/>
        </w:rPr>
        <w:t>Overall, the Trustee is comfortable that the voting and engagement policies set out in the SIP have been properly adhered to over the period.</w:t>
      </w:r>
    </w:p>
    <w:p w14:paraId="163E5DB5" w14:textId="77777777" w:rsidR="00986435" w:rsidRDefault="00986435" w:rsidP="00986435">
      <w:pPr>
        <w:pStyle w:val="CEBAppPrimaryHeading"/>
        <w:spacing w:before="60"/>
        <w:rPr>
          <w:rFonts w:cs="Arial"/>
          <w:b/>
          <w:sz w:val="20"/>
          <w:szCs w:val="20"/>
          <w:lang w:val="en-GB"/>
        </w:rPr>
      </w:pPr>
      <w:r>
        <w:rPr>
          <w:rFonts w:cs="Arial"/>
          <w:b/>
          <w:sz w:val="20"/>
          <w:szCs w:val="20"/>
          <w:lang w:val="en-GB"/>
        </w:rPr>
        <w:t>Changes to the SIP over the period</w:t>
      </w:r>
    </w:p>
    <w:p w14:paraId="719D97A8" w14:textId="77777777" w:rsidR="00986435" w:rsidRPr="00FE4AF4" w:rsidRDefault="00986435" w:rsidP="00986435">
      <w:pPr>
        <w:pStyle w:val="CEBAppPrimaryHeading"/>
        <w:spacing w:before="60"/>
        <w:rPr>
          <w:rFonts w:cs="Arial"/>
          <w:color w:val="000000" w:themeColor="text1"/>
          <w:sz w:val="20"/>
          <w:szCs w:val="20"/>
          <w:lang w:val="en-GB"/>
        </w:rPr>
      </w:pPr>
      <w:r w:rsidRPr="00875B36">
        <w:rPr>
          <w:rFonts w:cs="Arial"/>
          <w:color w:val="000000" w:themeColor="text1"/>
          <w:sz w:val="20"/>
          <w:szCs w:val="20"/>
          <w:lang w:val="en-GB"/>
        </w:rPr>
        <w:t xml:space="preserve">There were no changes to the SIP during the period covered by this Implementation Statement. </w:t>
      </w:r>
    </w:p>
    <w:p w14:paraId="45CFFCFF" w14:textId="77777777" w:rsidR="00986435" w:rsidRDefault="00986435" w:rsidP="00986435">
      <w:pPr>
        <w:pStyle w:val="CEBAppPrimaryHeading"/>
        <w:spacing w:before="60"/>
        <w:rPr>
          <w:rFonts w:cs="Arial"/>
          <w:b/>
          <w:sz w:val="20"/>
          <w:szCs w:val="20"/>
          <w:lang w:val="en-GB"/>
        </w:rPr>
      </w:pPr>
      <w:r>
        <w:rPr>
          <w:rFonts w:cs="Arial"/>
          <w:b/>
          <w:sz w:val="20"/>
          <w:szCs w:val="20"/>
          <w:lang w:val="en-GB"/>
        </w:rPr>
        <w:t>Stewardship, engagement and voting behaviour</w:t>
      </w:r>
    </w:p>
    <w:p w14:paraId="57298AF1" w14:textId="77777777" w:rsidR="00986435" w:rsidRPr="00875B36" w:rsidRDefault="00986435" w:rsidP="00986435">
      <w:pPr>
        <w:pStyle w:val="CEBAppPrimaryHeading"/>
        <w:spacing w:before="60"/>
        <w:rPr>
          <w:rFonts w:cs="Arial"/>
          <w:color w:val="auto"/>
          <w:sz w:val="20"/>
          <w:szCs w:val="20"/>
          <w:lang w:val="en-GB"/>
        </w:rPr>
      </w:pPr>
      <w:r w:rsidRPr="00875B36">
        <w:rPr>
          <w:rFonts w:cs="Arial"/>
          <w:color w:val="auto"/>
          <w:sz w:val="20"/>
          <w:szCs w:val="20"/>
          <w:lang w:val="en-GB"/>
        </w:rPr>
        <w:t xml:space="preserve">Direct engagement with underlying companies (as well as other relevant persons) </w:t>
      </w:r>
      <w:r w:rsidRPr="007835B3">
        <w:rPr>
          <w:rFonts w:cs="Arial"/>
          <w:color w:val="auto"/>
          <w:sz w:val="20"/>
          <w:szCs w:val="20"/>
          <w:lang w:val="en-GB"/>
        </w:rPr>
        <w:t>of which the Trustee owns shares and debt is carried out</w:t>
      </w:r>
      <w:r w:rsidRPr="00875B36">
        <w:rPr>
          <w:rFonts w:cs="Arial"/>
          <w:color w:val="auto"/>
          <w:sz w:val="20"/>
          <w:szCs w:val="20"/>
          <w:lang w:val="en-GB"/>
        </w:rPr>
        <w:t xml:space="preserve"> by the Fund’s investment managers. The Trustee’s ability to influence investment managers’ stewardship activities will depend on the nature of the investments held. </w:t>
      </w:r>
    </w:p>
    <w:p w14:paraId="6FC42440" w14:textId="2221AE6F" w:rsidR="00986435" w:rsidRDefault="00986435" w:rsidP="00986435">
      <w:pPr>
        <w:pStyle w:val="CEBAppPrimaryHeading"/>
        <w:spacing w:before="60"/>
        <w:rPr>
          <w:rFonts w:cs="Arial"/>
          <w:color w:val="auto"/>
          <w:sz w:val="20"/>
          <w:szCs w:val="20"/>
          <w:lang w:val="en-GB"/>
        </w:rPr>
      </w:pPr>
      <w:r w:rsidRPr="00875B36">
        <w:rPr>
          <w:rFonts w:cs="Arial"/>
          <w:color w:val="auto"/>
          <w:sz w:val="20"/>
          <w:szCs w:val="20"/>
          <w:lang w:val="en-GB"/>
        </w:rPr>
        <w:t>The majority of the Scheme’s non-LDI assets are invested in pooled funds where the Trustee holds units in a fund rather than having any direct ownership rights over the underlying assets. Accordingly, the Trustee’s policy is to delegate responsibility for engagement, which includes the exercising of rights (including voting rights) attached to investments, to the relevant investment managers. The Trustee expects all of its investment managers to practise good stewardship and seeks to choose managers that align with its beliefs regarding this. When selecting new managers, the Trustee’s Investment Adviser assesses the ability of each investment manager to engage with underlying companies to promote their long-term success. Additionally, if a manager’s approach is deemed to be inadequate, the Trustee will engage with the investment manager to better align it with the Trustee’s policy.</w:t>
      </w:r>
    </w:p>
    <w:p w14:paraId="6414334C" w14:textId="5CE238DE" w:rsidR="00641175" w:rsidRPr="00641175" w:rsidRDefault="00641175" w:rsidP="00641175">
      <w:pPr>
        <w:pStyle w:val="CEBAppPrimaryHeading"/>
        <w:spacing w:before="60"/>
        <w:rPr>
          <w:rFonts w:cs="Arial"/>
          <w:color w:val="auto"/>
          <w:sz w:val="20"/>
          <w:szCs w:val="20"/>
          <w:lang w:val="en-GB"/>
        </w:rPr>
      </w:pPr>
      <w:r w:rsidRPr="00641175">
        <w:rPr>
          <w:rFonts w:cs="Arial"/>
          <w:color w:val="auto"/>
          <w:sz w:val="20"/>
          <w:szCs w:val="20"/>
          <w:lang w:val="en-GB"/>
        </w:rPr>
        <w:t>Being cognisant of the DWP’s updated guidance emphasising the need for asset owners to be more “active” in their approach to stewardship, the Trustee has begun reviewing the above policy with a view to bringing it more in-line with the new guidance.</w:t>
      </w:r>
    </w:p>
    <w:p w14:paraId="012D977E" w14:textId="7600CBB7" w:rsidR="00182DB7" w:rsidRDefault="00641175" w:rsidP="00641175">
      <w:pPr>
        <w:pStyle w:val="CEBAppPrimaryHeading"/>
        <w:spacing w:before="60"/>
        <w:rPr>
          <w:rFonts w:cs="Arial"/>
          <w:color w:val="auto"/>
          <w:sz w:val="20"/>
          <w:szCs w:val="20"/>
          <w:lang w:val="en-GB"/>
        </w:rPr>
      </w:pPr>
      <w:r w:rsidRPr="00641175">
        <w:rPr>
          <w:rFonts w:cs="Arial"/>
          <w:color w:val="auto"/>
          <w:sz w:val="20"/>
          <w:szCs w:val="20"/>
          <w:lang w:val="en-GB"/>
        </w:rPr>
        <w:t>The Trustee intends to review this policy in 2023 and will share an updated stewardship policy in the next Implementation Statement.</w:t>
      </w:r>
    </w:p>
    <w:p w14:paraId="52AFB03F" w14:textId="51DE3CCF" w:rsidR="00986435" w:rsidRDefault="00986435" w:rsidP="00986435">
      <w:pPr>
        <w:pStyle w:val="CEBAppPrimaryHeading"/>
        <w:spacing w:before="60"/>
        <w:rPr>
          <w:rFonts w:cs="Arial"/>
          <w:color w:val="auto"/>
          <w:sz w:val="20"/>
          <w:szCs w:val="20"/>
          <w:lang w:val="en-GB"/>
        </w:rPr>
      </w:pPr>
      <w:r>
        <w:rPr>
          <w:rFonts w:cs="Arial"/>
        </w:rPr>
        <w:br w:type="page"/>
      </w:r>
    </w:p>
    <w:p w14:paraId="39094A9C" w14:textId="108EB9F1" w:rsidR="00986435" w:rsidRDefault="00986435" w:rsidP="00986435">
      <w:pPr>
        <w:pStyle w:val="CEBAppPrimaryHeading"/>
        <w:spacing w:before="60"/>
        <w:rPr>
          <w:rFonts w:cs="Arial"/>
          <w:color w:val="auto"/>
          <w:sz w:val="20"/>
          <w:szCs w:val="20"/>
          <w:lang w:val="en-GB"/>
        </w:rPr>
      </w:pPr>
      <w:r>
        <w:rPr>
          <w:rFonts w:cs="Arial"/>
          <w:color w:val="auto"/>
          <w:sz w:val="20"/>
          <w:szCs w:val="20"/>
          <w:lang w:val="en-GB"/>
        </w:rPr>
        <w:lastRenderedPageBreak/>
        <w:t xml:space="preserve">Stewardship and engagement (including the use of voting rights) is most likely to be financially material in the sections of the portfolio where physical equities are held (Impax Global Equity Opportunities, Bridgewater Optimal II, and AQR Diversified Risk Premia). For the relevant managers that invest in physical equity, further details and an overview of votes cast during the year are provided in the </w:t>
      </w:r>
      <w:r w:rsidR="00BF187E">
        <w:rPr>
          <w:rFonts w:cs="Arial"/>
          <w:color w:val="auto"/>
          <w:sz w:val="20"/>
          <w:szCs w:val="20"/>
          <w:lang w:val="en-GB"/>
        </w:rPr>
        <w:t>A</w:t>
      </w:r>
      <w:r>
        <w:rPr>
          <w:rFonts w:cs="Arial"/>
          <w:color w:val="auto"/>
          <w:sz w:val="20"/>
          <w:szCs w:val="20"/>
          <w:lang w:val="en-GB"/>
        </w:rPr>
        <w:t xml:space="preserve">ppendix. Engagement is also considered to be of importance for the Fund’s other investment managers, though data to evidence their approach is more difficult to obtain. </w:t>
      </w:r>
    </w:p>
    <w:p w14:paraId="348027D3" w14:textId="77777777" w:rsidR="00986435" w:rsidRDefault="00986435" w:rsidP="00986435">
      <w:pPr>
        <w:pStyle w:val="CEBAppPrimaryHeading"/>
        <w:spacing w:before="60"/>
        <w:rPr>
          <w:rFonts w:cs="Arial"/>
          <w:color w:val="auto"/>
          <w:sz w:val="20"/>
          <w:szCs w:val="20"/>
          <w:lang w:val="en-GB"/>
        </w:rPr>
      </w:pPr>
      <w:r>
        <w:rPr>
          <w:rFonts w:cs="Arial"/>
          <w:color w:val="auto"/>
          <w:sz w:val="20"/>
          <w:szCs w:val="20"/>
          <w:lang w:val="en-GB"/>
        </w:rPr>
        <w:t xml:space="preserve">The Trustee is comfortable that the voting and engagement policies have all been adequately followed over the reporting period, noting a number of recent changes to regulations in this area and that disclosures are likely to improve over time. </w:t>
      </w:r>
    </w:p>
    <w:p w14:paraId="3384ABBC" w14:textId="4E800C9F" w:rsidR="00986435" w:rsidRDefault="00986435" w:rsidP="00986435">
      <w:pPr>
        <w:pStyle w:val="CEBAppPrimaryHeading"/>
        <w:spacing w:before="60"/>
        <w:rPr>
          <w:rFonts w:cs="Arial"/>
          <w:b/>
          <w:sz w:val="20"/>
          <w:szCs w:val="20"/>
          <w:lang w:val="en-GB"/>
        </w:rPr>
      </w:pPr>
      <w:r>
        <w:rPr>
          <w:rFonts w:cs="Arial"/>
          <w:b/>
          <w:sz w:val="20"/>
          <w:szCs w:val="20"/>
          <w:lang w:val="en-GB"/>
        </w:rPr>
        <w:t>Appendix – oting disclosure tables</w:t>
      </w:r>
    </w:p>
    <w:p w14:paraId="03BD1C39" w14:textId="217100D6" w:rsidR="00986435" w:rsidRDefault="00986435" w:rsidP="00986435">
      <w:pPr>
        <w:pStyle w:val="CEBAppPrimaryHeading"/>
        <w:spacing w:before="60"/>
        <w:rPr>
          <w:rFonts w:cs="Arial"/>
          <w:color w:val="auto"/>
          <w:sz w:val="20"/>
          <w:szCs w:val="20"/>
          <w:lang w:val="en-GB"/>
        </w:rPr>
      </w:pPr>
      <w:r>
        <w:rPr>
          <w:rFonts w:cs="Arial"/>
          <w:color w:val="auto"/>
          <w:sz w:val="20"/>
          <w:szCs w:val="20"/>
          <w:lang w:val="en-GB"/>
        </w:rPr>
        <w:t xml:space="preserve">Below is the voting activity over the period for the Fund’s asset managers which held listed equities over the period. </w:t>
      </w:r>
      <w:r w:rsidRPr="00202C25">
        <w:rPr>
          <w:rFonts w:cs="Arial"/>
          <w:color w:val="auto"/>
          <w:sz w:val="20"/>
          <w:szCs w:val="20"/>
          <w:lang w:val="en-GB"/>
        </w:rPr>
        <w:t>Where significant votes have been identified by managers, a sample of votes have been selected to ensure that the Statement remains concise</w:t>
      </w:r>
      <w:r w:rsidR="00F90CBE">
        <w:rPr>
          <w:rFonts w:cs="Arial"/>
          <w:color w:val="auto"/>
          <w:sz w:val="20"/>
          <w:szCs w:val="20"/>
          <w:lang w:val="en-GB"/>
        </w:rPr>
        <w:t>;</w:t>
      </w:r>
      <w:r w:rsidRPr="00202C25">
        <w:rPr>
          <w:rFonts w:cs="Arial"/>
          <w:color w:val="auto"/>
          <w:sz w:val="20"/>
          <w:szCs w:val="20"/>
          <w:lang w:val="en-GB"/>
        </w:rPr>
        <w:t xml:space="preserve"> further examples can be provided upon request. The Trustee is comfortable with these details, and will continue to disclose this information in the next iteration of the Statement.</w:t>
      </w:r>
    </w:p>
    <w:p w14:paraId="08F070C8" w14:textId="77777777" w:rsidR="00986435" w:rsidRPr="006F2EE6" w:rsidRDefault="00986435" w:rsidP="00986435">
      <w:pPr>
        <w:pStyle w:val="CEBAppPrimaryHeading"/>
        <w:spacing w:before="60"/>
        <w:rPr>
          <w:rFonts w:cs="Arial"/>
          <w:b/>
          <w:sz w:val="20"/>
          <w:szCs w:val="20"/>
          <w:lang w:val="en-GB"/>
        </w:rPr>
      </w:pPr>
      <w:r w:rsidRPr="006F2EE6">
        <w:rPr>
          <w:rFonts w:cs="Arial"/>
          <w:b/>
          <w:sz w:val="20"/>
          <w:szCs w:val="20"/>
          <w:lang w:val="en-GB"/>
        </w:rPr>
        <w:t xml:space="preserve">Impax Global Equity Opportunities </w:t>
      </w:r>
    </w:p>
    <w:tbl>
      <w:tblPr>
        <w:tblW w:w="10036" w:type="dxa"/>
        <w:tblCellMar>
          <w:left w:w="0" w:type="dxa"/>
          <w:right w:w="0" w:type="dxa"/>
        </w:tblCellMar>
        <w:tblLook w:val="04A0" w:firstRow="1" w:lastRow="0" w:firstColumn="1" w:lastColumn="0" w:noHBand="0" w:noVBand="1"/>
      </w:tblPr>
      <w:tblGrid>
        <w:gridCol w:w="4957"/>
        <w:gridCol w:w="5079"/>
      </w:tblGrid>
      <w:tr w:rsidR="00986435" w:rsidRPr="00CC605D" w14:paraId="30CC985D" w14:textId="77777777" w:rsidTr="00FE4AF4">
        <w:trPr>
          <w:trHeight w:val="272"/>
        </w:trPr>
        <w:tc>
          <w:tcPr>
            <w:tcW w:w="4957" w:type="dxa"/>
            <w:tcBorders>
              <w:top w:val="single" w:sz="4" w:space="0" w:color="FFFFFF"/>
              <w:left w:val="single" w:sz="4" w:space="0" w:color="FFFFFF"/>
              <w:bottom w:val="single" w:sz="4" w:space="0" w:color="D3D7DA"/>
              <w:right w:val="single" w:sz="4" w:space="0" w:color="FFFFFF"/>
            </w:tcBorders>
            <w:shd w:val="clear" w:color="auto" w:fill="002060"/>
            <w:tcMar>
              <w:top w:w="57" w:type="dxa"/>
              <w:left w:w="113" w:type="dxa"/>
              <w:bottom w:w="57" w:type="dxa"/>
              <w:right w:w="113" w:type="dxa"/>
            </w:tcMar>
            <w:hideMark/>
          </w:tcPr>
          <w:p w14:paraId="0B23535E" w14:textId="77777777" w:rsidR="00986435" w:rsidRPr="006F2EE6" w:rsidRDefault="00986435" w:rsidP="00FE4AF4">
            <w:pPr>
              <w:spacing w:before="60"/>
              <w:jc w:val="both"/>
              <w:rPr>
                <w:rFonts w:ascii="Arial" w:eastAsia="Times New Roman" w:hAnsi="Arial" w:cs="Calibri"/>
                <w:b/>
                <w:color w:val="FFFFFF"/>
                <w:sz w:val="18"/>
                <w:szCs w:val="18"/>
                <w:lang w:eastAsia="en-GB"/>
              </w:rPr>
            </w:pPr>
            <w:r w:rsidRPr="006F2EE6">
              <w:rPr>
                <w:rFonts w:ascii="Arial" w:eastAsia="Times New Roman" w:hAnsi="Arial" w:cs="Calibri"/>
                <w:b/>
                <w:color w:val="FFFFFF"/>
                <w:sz w:val="18"/>
                <w:szCs w:val="18"/>
                <w:lang w:eastAsia="en-GB"/>
              </w:rPr>
              <w:t>Key Voting Statistics (</w:t>
            </w:r>
            <w:r>
              <w:rPr>
                <w:rFonts w:ascii="Arial" w:eastAsia="Times New Roman" w:hAnsi="Arial" w:cs="Calibri"/>
                <w:b/>
                <w:color w:val="FFFFFF"/>
                <w:sz w:val="18"/>
                <w:szCs w:val="18"/>
                <w:lang w:eastAsia="en-GB"/>
              </w:rPr>
              <w:t>Jan</w:t>
            </w:r>
            <w:r w:rsidRPr="006F2EE6">
              <w:rPr>
                <w:rFonts w:ascii="Arial" w:eastAsia="Times New Roman" w:hAnsi="Arial" w:cs="Calibri"/>
                <w:b/>
                <w:color w:val="FFFFFF"/>
                <w:sz w:val="18"/>
                <w:szCs w:val="18"/>
                <w:lang w:eastAsia="en-GB"/>
              </w:rPr>
              <w:t xml:space="preserve"> 202</w:t>
            </w:r>
            <w:r>
              <w:rPr>
                <w:rFonts w:ascii="Arial" w:eastAsia="Times New Roman" w:hAnsi="Arial" w:cs="Calibri"/>
                <w:b/>
                <w:color w:val="FFFFFF"/>
                <w:sz w:val="18"/>
                <w:szCs w:val="18"/>
                <w:lang w:eastAsia="en-GB"/>
              </w:rPr>
              <w:t>1</w:t>
            </w:r>
            <w:r w:rsidRPr="006F2EE6">
              <w:rPr>
                <w:rFonts w:ascii="Arial" w:eastAsia="Times New Roman" w:hAnsi="Arial" w:cs="Calibri"/>
                <w:b/>
                <w:color w:val="FFFFFF"/>
                <w:sz w:val="18"/>
                <w:szCs w:val="18"/>
                <w:lang w:eastAsia="en-GB"/>
              </w:rPr>
              <w:t xml:space="preserve"> – Dec 202</w:t>
            </w:r>
            <w:r>
              <w:rPr>
                <w:rFonts w:ascii="Arial" w:eastAsia="Times New Roman" w:hAnsi="Arial" w:cs="Calibri"/>
                <w:b/>
                <w:color w:val="FFFFFF"/>
                <w:sz w:val="18"/>
                <w:szCs w:val="18"/>
                <w:lang w:eastAsia="en-GB"/>
              </w:rPr>
              <w:t>1</w:t>
            </w:r>
            <w:r w:rsidRPr="006F2EE6">
              <w:rPr>
                <w:rFonts w:ascii="Arial" w:eastAsia="Times New Roman" w:hAnsi="Arial" w:cs="Calibri"/>
                <w:b/>
                <w:color w:val="FFFFFF"/>
                <w:sz w:val="18"/>
                <w:szCs w:val="18"/>
                <w:lang w:eastAsia="en-GB"/>
              </w:rPr>
              <w:t>)</w:t>
            </w:r>
          </w:p>
        </w:tc>
        <w:tc>
          <w:tcPr>
            <w:tcW w:w="5079" w:type="dxa"/>
            <w:tcBorders>
              <w:top w:val="single" w:sz="4" w:space="0" w:color="FFFFFF"/>
              <w:left w:val="single" w:sz="4" w:space="0" w:color="FFFFFF"/>
              <w:bottom w:val="single" w:sz="4" w:space="0" w:color="D3D7DA"/>
              <w:right w:val="single" w:sz="4" w:space="0" w:color="FFFFFF"/>
            </w:tcBorders>
            <w:shd w:val="clear" w:color="auto" w:fill="002060"/>
            <w:tcMar>
              <w:top w:w="57" w:type="dxa"/>
              <w:left w:w="113" w:type="dxa"/>
              <w:bottom w:w="57" w:type="dxa"/>
              <w:right w:w="113" w:type="dxa"/>
            </w:tcMar>
            <w:hideMark/>
          </w:tcPr>
          <w:p w14:paraId="65420527" w14:textId="77777777" w:rsidR="00986435" w:rsidRPr="006F2EE6" w:rsidRDefault="00986435" w:rsidP="00FE4AF4">
            <w:pPr>
              <w:spacing w:before="60"/>
              <w:jc w:val="both"/>
              <w:rPr>
                <w:rFonts w:ascii="Arial" w:eastAsia="Times New Roman" w:hAnsi="Arial" w:cs="Calibri"/>
                <w:b/>
                <w:color w:val="FFFFFF"/>
                <w:sz w:val="18"/>
                <w:szCs w:val="18"/>
                <w:lang w:eastAsia="en-GB"/>
              </w:rPr>
            </w:pPr>
            <w:r w:rsidRPr="006F2EE6">
              <w:rPr>
                <w:rFonts w:ascii="Arial" w:eastAsia="Times New Roman" w:hAnsi="Arial" w:cs="Calibri"/>
                <w:b/>
                <w:color w:val="FFFFFF"/>
                <w:sz w:val="18"/>
                <w:szCs w:val="18"/>
                <w:lang w:eastAsia="en-GB"/>
              </w:rPr>
              <w:t>Number</w:t>
            </w:r>
          </w:p>
        </w:tc>
      </w:tr>
      <w:tr w:rsidR="00986435" w:rsidRPr="00CC605D" w:rsidDel="006054E0" w14:paraId="4F20A46D" w14:textId="77777777" w:rsidTr="00FE4AF4">
        <w:trPr>
          <w:trHeight w:val="272"/>
        </w:trPr>
        <w:tc>
          <w:tcPr>
            <w:tcW w:w="4957"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33FDF08B"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holdings at period end</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3001C649" w14:textId="77777777" w:rsidR="00986435" w:rsidRPr="006A16B8" w:rsidRDefault="00986435" w:rsidP="00FE4AF4">
            <w:pPr>
              <w:rPr>
                <w:rFonts w:ascii="Arial" w:eastAsia="Times New Roman" w:hAnsi="Arial" w:cs="Arial"/>
                <w:sz w:val="18"/>
                <w:szCs w:val="18"/>
                <w:lang w:eastAsia="en-GB"/>
              </w:rPr>
            </w:pPr>
            <w:r w:rsidRPr="006A16B8">
              <w:rPr>
                <w:rFonts w:ascii="Arial" w:eastAsia="Times New Roman" w:hAnsi="Arial" w:cs="Arial"/>
                <w:sz w:val="18"/>
                <w:szCs w:val="18"/>
                <w:lang w:eastAsia="en-GB"/>
              </w:rPr>
              <w:t>41</w:t>
            </w:r>
          </w:p>
        </w:tc>
      </w:tr>
      <w:tr w:rsidR="00986435" w:rsidRPr="00CC605D" w:rsidDel="006054E0" w14:paraId="48615F76" w14:textId="77777777" w:rsidTr="00FE4AF4">
        <w:trPr>
          <w:trHeight w:val="272"/>
        </w:trPr>
        <w:tc>
          <w:tcPr>
            <w:tcW w:w="4957"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3250D57F" w14:textId="77777777" w:rsidR="00986435" w:rsidRPr="006F2EE6" w:rsidDel="00DE1AE9"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Value of Trustee’s Assets</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621B3231" w14:textId="77777777" w:rsidR="00986435" w:rsidRPr="006A16B8" w:rsidDel="006054E0" w:rsidRDefault="00986435" w:rsidP="00FE4AF4">
            <w:pPr>
              <w:rPr>
                <w:rFonts w:ascii="Arial" w:eastAsia="Times New Roman" w:hAnsi="Arial" w:cs="Arial"/>
                <w:sz w:val="18"/>
                <w:szCs w:val="18"/>
                <w:lang w:eastAsia="en-GB"/>
              </w:rPr>
            </w:pPr>
            <w:r w:rsidRPr="006A16B8">
              <w:rPr>
                <w:rFonts w:ascii="Arial" w:eastAsia="Times New Roman" w:hAnsi="Arial" w:cs="Arial"/>
                <w:sz w:val="18"/>
                <w:szCs w:val="18"/>
                <w:lang w:eastAsia="en-GB"/>
              </w:rPr>
              <w:t>£8.6m</w:t>
            </w:r>
          </w:p>
        </w:tc>
      </w:tr>
      <w:tr w:rsidR="00986435" w:rsidRPr="00CC605D" w14:paraId="300C2025" w14:textId="77777777" w:rsidTr="00FE4AF4">
        <w:trPr>
          <w:trHeight w:val="272"/>
        </w:trPr>
        <w:tc>
          <w:tcPr>
            <w:tcW w:w="4957"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5A980DA7"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meetings eligible to vote during the period</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1650AD11" w14:textId="77777777" w:rsidR="00986435" w:rsidRPr="006A16B8" w:rsidRDefault="00986435" w:rsidP="00FE4AF4">
            <w:pPr>
              <w:rPr>
                <w:rFonts w:ascii="Arial" w:eastAsia="Times New Roman" w:hAnsi="Arial" w:cs="Arial"/>
                <w:sz w:val="18"/>
                <w:szCs w:val="18"/>
                <w:lang w:eastAsia="en-GB"/>
              </w:rPr>
            </w:pPr>
            <w:r w:rsidRPr="006A16B8">
              <w:rPr>
                <w:rFonts w:ascii="Arial" w:eastAsia="Times New Roman" w:hAnsi="Arial" w:cs="Arial"/>
                <w:sz w:val="18"/>
                <w:szCs w:val="18"/>
                <w:lang w:eastAsia="en-GB"/>
              </w:rPr>
              <w:t>41</w:t>
            </w:r>
          </w:p>
        </w:tc>
      </w:tr>
      <w:tr w:rsidR="00986435" w:rsidRPr="00CC605D" w14:paraId="29208324"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5C3A0368"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resolutions eligible to vote during the period</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38A19010" w14:textId="77777777" w:rsidR="00986435" w:rsidRPr="00875B36" w:rsidRDefault="00986435" w:rsidP="00FE4AF4">
            <w:pPr>
              <w:rPr>
                <w:rFonts w:ascii="Arial" w:eastAsia="Times New Roman" w:hAnsi="Arial" w:cs="Arial"/>
                <w:sz w:val="18"/>
                <w:szCs w:val="18"/>
                <w:highlight w:val="yellow"/>
                <w:lang w:eastAsia="en-GB"/>
              </w:rPr>
            </w:pPr>
            <w:r w:rsidRPr="006A16B8">
              <w:rPr>
                <w:rFonts w:ascii="Arial" w:eastAsia="Times New Roman" w:hAnsi="Arial" w:cs="Arial"/>
                <w:sz w:val="18"/>
                <w:szCs w:val="18"/>
                <w:lang w:eastAsia="en-GB"/>
              </w:rPr>
              <w:t>619</w:t>
            </w:r>
          </w:p>
        </w:tc>
      </w:tr>
      <w:tr w:rsidR="00986435" w:rsidRPr="00CC605D" w14:paraId="27E73000" w14:textId="77777777" w:rsidTr="00FE4AF4">
        <w:trPr>
          <w:trHeight w:val="25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5F53C0F0"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voted</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2B1D8E41" w14:textId="77777777" w:rsidR="00986435" w:rsidRPr="00875B36" w:rsidRDefault="00986435" w:rsidP="00FE4AF4">
            <w:pPr>
              <w:rPr>
                <w:rFonts w:ascii="Arial" w:eastAsia="Times New Roman" w:hAnsi="Arial" w:cs="Arial"/>
                <w:sz w:val="18"/>
                <w:szCs w:val="18"/>
                <w:highlight w:val="yellow"/>
                <w:lang w:eastAsia="en-GB"/>
              </w:rPr>
            </w:pPr>
            <w:r w:rsidRPr="006A16B8">
              <w:rPr>
                <w:rFonts w:ascii="Arial" w:eastAsia="Times New Roman" w:hAnsi="Arial" w:cs="Arial"/>
                <w:sz w:val="18"/>
                <w:szCs w:val="18"/>
                <w:lang w:eastAsia="en-GB"/>
              </w:rPr>
              <w:t>100.0%</w:t>
            </w:r>
          </w:p>
        </w:tc>
      </w:tr>
      <w:tr w:rsidR="00986435" w:rsidRPr="00CC605D" w14:paraId="0FF265D7"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6B29486A"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 of resolutions voted with management </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29CBF13C" w14:textId="77777777" w:rsidR="00986435" w:rsidRPr="00875B36" w:rsidRDefault="00986435" w:rsidP="00FE4AF4">
            <w:pPr>
              <w:rPr>
                <w:rFonts w:ascii="Arial" w:eastAsia="Times New Roman" w:hAnsi="Arial" w:cs="Arial"/>
                <w:sz w:val="18"/>
                <w:szCs w:val="18"/>
                <w:highlight w:val="yellow"/>
                <w:lang w:eastAsia="en-GB"/>
              </w:rPr>
            </w:pPr>
            <w:r w:rsidRPr="006A16B8">
              <w:rPr>
                <w:rFonts w:ascii="Arial" w:eastAsia="Times New Roman" w:hAnsi="Arial" w:cs="Arial"/>
                <w:sz w:val="18"/>
                <w:szCs w:val="18"/>
                <w:lang w:eastAsia="en-GB"/>
              </w:rPr>
              <w:t>90.5%</w:t>
            </w:r>
          </w:p>
        </w:tc>
      </w:tr>
      <w:tr w:rsidR="00986435" w:rsidRPr="00CC605D" w14:paraId="4FA68E07"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613990D1"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 of resolutions voted against management </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875861A" w14:textId="77777777" w:rsidR="00986435" w:rsidRPr="00875B36" w:rsidRDefault="00986435" w:rsidP="00FE4AF4">
            <w:pPr>
              <w:rPr>
                <w:rFonts w:ascii="Arial" w:eastAsia="Times New Roman" w:hAnsi="Arial" w:cs="Arial"/>
                <w:sz w:val="18"/>
                <w:szCs w:val="18"/>
                <w:highlight w:val="yellow"/>
                <w:lang w:eastAsia="en-GB"/>
              </w:rPr>
            </w:pPr>
            <w:r w:rsidRPr="006A16B8">
              <w:rPr>
                <w:rFonts w:ascii="Arial" w:eastAsia="Times New Roman" w:hAnsi="Arial" w:cs="Arial"/>
                <w:sz w:val="18"/>
                <w:szCs w:val="18"/>
                <w:lang w:eastAsia="en-GB"/>
              </w:rPr>
              <w:t>8.7%</w:t>
            </w:r>
          </w:p>
        </w:tc>
      </w:tr>
      <w:tr w:rsidR="00986435" w:rsidRPr="00CC605D" w14:paraId="0A3E4EA3"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43A382AD" w14:textId="77777777" w:rsidR="00986435" w:rsidRPr="006A16B8" w:rsidRDefault="00986435" w:rsidP="00FE4AF4">
            <w:pPr>
              <w:rPr>
                <w:rFonts w:ascii="Arial" w:eastAsia="Times New Roman" w:hAnsi="Arial" w:cs="Arial"/>
                <w:sz w:val="18"/>
                <w:szCs w:val="18"/>
                <w:lang w:eastAsia="en-GB"/>
              </w:rPr>
            </w:pPr>
            <w:r w:rsidRPr="006A16B8">
              <w:rPr>
                <w:rFonts w:ascii="Arial" w:eastAsia="Times New Roman" w:hAnsi="Arial" w:cs="Arial"/>
                <w:sz w:val="18"/>
                <w:szCs w:val="18"/>
                <w:lang w:eastAsia="en-GB"/>
              </w:rPr>
              <w:t xml:space="preserve">% of resolutions abstained </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2D90268" w14:textId="77777777" w:rsidR="00986435" w:rsidRPr="006A16B8" w:rsidRDefault="00986435" w:rsidP="00FE4AF4">
            <w:pPr>
              <w:rPr>
                <w:rFonts w:ascii="Arial" w:eastAsia="Times New Roman" w:hAnsi="Arial" w:cs="Arial"/>
                <w:sz w:val="18"/>
                <w:szCs w:val="18"/>
                <w:lang w:eastAsia="en-GB"/>
              </w:rPr>
            </w:pPr>
            <w:r w:rsidRPr="006A16B8">
              <w:rPr>
                <w:rFonts w:ascii="Arial" w:eastAsia="Times New Roman" w:hAnsi="Arial" w:cs="Arial"/>
                <w:sz w:val="18"/>
                <w:szCs w:val="18"/>
                <w:lang w:eastAsia="en-GB"/>
              </w:rPr>
              <w:t>0.8%</w:t>
            </w:r>
          </w:p>
        </w:tc>
      </w:tr>
      <w:tr w:rsidR="00986435" w:rsidRPr="00CC605D" w14:paraId="277E71C4"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135B8AA0" w14:textId="77777777" w:rsidR="00986435" w:rsidRPr="006F2EE6" w:rsidDel="00B11B74"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 of meetings with at least one vote against management </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39E1D393" w14:textId="77777777" w:rsidR="00986435" w:rsidRPr="006A16B8" w:rsidRDefault="00986435" w:rsidP="00FE4AF4">
            <w:pPr>
              <w:rPr>
                <w:rFonts w:ascii="Arial" w:eastAsia="Times New Roman" w:hAnsi="Arial" w:cs="Arial"/>
                <w:sz w:val="18"/>
                <w:szCs w:val="18"/>
                <w:lang w:eastAsia="en-GB"/>
              </w:rPr>
            </w:pPr>
            <w:r w:rsidRPr="006A16B8">
              <w:rPr>
                <w:rFonts w:ascii="Arial" w:eastAsia="Times New Roman" w:hAnsi="Arial" w:cs="Arial"/>
                <w:sz w:val="18"/>
                <w:szCs w:val="18"/>
                <w:lang w:eastAsia="en-GB"/>
              </w:rPr>
              <w:t>75.6%</w:t>
            </w:r>
          </w:p>
        </w:tc>
      </w:tr>
      <w:tr w:rsidR="00986435" w:rsidRPr="00CC605D" w14:paraId="4BC257FB"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38DF2AFE" w14:textId="77777777" w:rsidR="00986435" w:rsidRPr="006F2EE6" w:rsidDel="00B11B74"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where manager voted contrary to recommendation of proxy adviser</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6481345A" w14:textId="77777777" w:rsidR="00986435" w:rsidRPr="006A16B8" w:rsidRDefault="00986435" w:rsidP="00FE4AF4">
            <w:pPr>
              <w:rPr>
                <w:rFonts w:ascii="Arial" w:eastAsia="Times New Roman" w:hAnsi="Arial" w:cs="Arial"/>
                <w:sz w:val="18"/>
                <w:szCs w:val="18"/>
                <w:lang w:eastAsia="en-GB"/>
              </w:rPr>
            </w:pPr>
            <w:r w:rsidRPr="006A16B8">
              <w:rPr>
                <w:rFonts w:ascii="Arial" w:eastAsia="Times New Roman" w:hAnsi="Arial" w:cs="Arial"/>
                <w:sz w:val="18"/>
                <w:szCs w:val="18"/>
                <w:lang w:eastAsia="en-GB"/>
              </w:rPr>
              <w:t>6.8%</w:t>
            </w:r>
          </w:p>
        </w:tc>
      </w:tr>
      <w:tr w:rsidR="00986435" w:rsidRPr="00CC605D" w14:paraId="49C5881D"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79B6189D" w14:textId="77777777" w:rsidR="00986435" w:rsidRPr="006F2EE6" w:rsidDel="00B11B74"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Any use of proxy voting services during the period </w:t>
            </w:r>
          </w:p>
        </w:tc>
        <w:tc>
          <w:tcPr>
            <w:tcW w:w="5079"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59DB3678" w14:textId="77777777" w:rsidR="00986435" w:rsidRPr="00875B36" w:rsidRDefault="00986435" w:rsidP="00FE4AF4">
            <w:pPr>
              <w:rPr>
                <w:rFonts w:ascii="Arial" w:eastAsia="Times New Roman" w:hAnsi="Arial" w:cs="Arial"/>
                <w:sz w:val="18"/>
                <w:szCs w:val="18"/>
                <w:highlight w:val="yellow"/>
                <w:lang w:eastAsia="en-GB"/>
              </w:rPr>
            </w:pPr>
            <w:r w:rsidRPr="006A16B8">
              <w:rPr>
                <w:rFonts w:ascii="Arial" w:eastAsia="Times New Roman" w:hAnsi="Arial" w:cs="Arial"/>
                <w:sz w:val="18"/>
                <w:szCs w:val="18"/>
                <w:lang w:eastAsia="en-GB"/>
              </w:rPr>
              <w:t xml:space="preserve">Impax has engaged Glass, Lewis &amp; Co. (“Glass Lewis”) to facilitate voting execution, record keeping, and to help inform its analysis of relevant proxy issues and proxy votes. Ultimately Impax makes its own voting decisions, based on its ESG and voting policies.  </w:t>
            </w:r>
          </w:p>
        </w:tc>
      </w:tr>
    </w:tbl>
    <w:p w14:paraId="3A03974E" w14:textId="77777777" w:rsidR="00986435" w:rsidRDefault="00986435" w:rsidP="00986435">
      <w:pPr>
        <w:pStyle w:val="BodyTextFirst"/>
        <w:spacing w:before="240"/>
        <w:rPr>
          <w:rFonts w:cs="Calibri"/>
          <w:b/>
          <w:bCs/>
          <w:szCs w:val="20"/>
        </w:rPr>
      </w:pPr>
    </w:p>
    <w:tbl>
      <w:tblPr>
        <w:tblStyle w:val="RedingtonTable"/>
        <w:tblW w:w="9057" w:type="dxa"/>
        <w:tblInd w:w="15" w:type="dxa"/>
        <w:tblLayout w:type="fixed"/>
        <w:tblLook w:val="04A0" w:firstRow="1" w:lastRow="0" w:firstColumn="1" w:lastColumn="0" w:noHBand="0" w:noVBand="1"/>
      </w:tblPr>
      <w:tblGrid>
        <w:gridCol w:w="1402"/>
        <w:gridCol w:w="1912"/>
        <w:gridCol w:w="1917"/>
        <w:gridCol w:w="1913"/>
        <w:gridCol w:w="1913"/>
      </w:tblGrid>
      <w:tr w:rsidR="00986435" w:rsidRPr="000D35FD" w14:paraId="2F719F0D" w14:textId="77777777" w:rsidTr="00FE4A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tcBorders>
              <w:top w:val="none" w:sz="0" w:space="0" w:color="auto"/>
              <w:left w:val="none" w:sz="0" w:space="0" w:color="auto"/>
              <w:bottom w:val="none" w:sz="0" w:space="0" w:color="auto"/>
              <w:right w:val="none" w:sz="0" w:space="0" w:color="auto"/>
            </w:tcBorders>
          </w:tcPr>
          <w:p w14:paraId="36D04BDA" w14:textId="77777777" w:rsidR="00986435" w:rsidRPr="0066053E" w:rsidRDefault="00986435" w:rsidP="00FE4AF4">
            <w:pPr>
              <w:rPr>
                <w:sz w:val="18"/>
                <w:szCs w:val="18"/>
              </w:rPr>
            </w:pPr>
          </w:p>
        </w:tc>
        <w:tc>
          <w:tcPr>
            <w:tcW w:w="1912" w:type="dxa"/>
            <w:tcBorders>
              <w:top w:val="none" w:sz="0" w:space="0" w:color="auto"/>
              <w:left w:val="none" w:sz="0" w:space="0" w:color="auto"/>
              <w:bottom w:val="none" w:sz="0" w:space="0" w:color="auto"/>
              <w:right w:val="none" w:sz="0" w:space="0" w:color="auto"/>
            </w:tcBorders>
          </w:tcPr>
          <w:p w14:paraId="6FFAACBB" w14:textId="77777777" w:rsidR="00986435" w:rsidRPr="0066053E"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66053E">
              <w:rPr>
                <w:rFonts w:asciiTheme="minorHAnsi" w:eastAsia="Times New Roman" w:hAnsiTheme="minorHAnsi" w:cstheme="minorHAnsi"/>
                <w:bCs/>
                <w:sz w:val="18"/>
                <w:szCs w:val="18"/>
              </w:rPr>
              <w:t>Vote 1</w:t>
            </w:r>
          </w:p>
        </w:tc>
        <w:tc>
          <w:tcPr>
            <w:tcW w:w="1917" w:type="dxa"/>
            <w:tcBorders>
              <w:top w:val="none" w:sz="0" w:space="0" w:color="auto"/>
              <w:left w:val="none" w:sz="0" w:space="0" w:color="auto"/>
              <w:bottom w:val="none" w:sz="0" w:space="0" w:color="auto"/>
              <w:right w:val="none" w:sz="0" w:space="0" w:color="auto"/>
            </w:tcBorders>
          </w:tcPr>
          <w:p w14:paraId="7EC16729" w14:textId="77777777" w:rsidR="00986435" w:rsidRPr="0066053E"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66053E">
              <w:rPr>
                <w:rFonts w:asciiTheme="minorHAnsi" w:eastAsia="Times New Roman" w:hAnsiTheme="minorHAnsi" w:cstheme="minorHAnsi"/>
                <w:bCs/>
                <w:sz w:val="18"/>
                <w:szCs w:val="18"/>
              </w:rPr>
              <w:t>Vote 2</w:t>
            </w:r>
          </w:p>
        </w:tc>
        <w:tc>
          <w:tcPr>
            <w:tcW w:w="1913" w:type="dxa"/>
            <w:tcBorders>
              <w:top w:val="none" w:sz="0" w:space="0" w:color="auto"/>
              <w:left w:val="none" w:sz="0" w:space="0" w:color="auto"/>
              <w:bottom w:val="none" w:sz="0" w:space="0" w:color="auto"/>
              <w:right w:val="none" w:sz="0" w:space="0" w:color="auto"/>
            </w:tcBorders>
          </w:tcPr>
          <w:p w14:paraId="5C9F7904" w14:textId="77777777" w:rsidR="00986435" w:rsidRPr="0066053E"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66053E">
              <w:rPr>
                <w:rFonts w:asciiTheme="minorHAnsi" w:eastAsia="Times New Roman" w:hAnsiTheme="minorHAnsi" w:cstheme="minorHAnsi"/>
                <w:bCs/>
                <w:sz w:val="18"/>
                <w:szCs w:val="18"/>
              </w:rPr>
              <w:t>Vote 3</w:t>
            </w:r>
          </w:p>
        </w:tc>
        <w:tc>
          <w:tcPr>
            <w:tcW w:w="1913" w:type="dxa"/>
            <w:tcBorders>
              <w:top w:val="none" w:sz="0" w:space="0" w:color="auto"/>
              <w:left w:val="none" w:sz="0" w:space="0" w:color="auto"/>
              <w:bottom w:val="none" w:sz="0" w:space="0" w:color="auto"/>
              <w:right w:val="none" w:sz="0" w:space="0" w:color="auto"/>
            </w:tcBorders>
          </w:tcPr>
          <w:p w14:paraId="6CF288A9" w14:textId="77777777" w:rsidR="00986435" w:rsidRPr="0066053E"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66053E">
              <w:rPr>
                <w:rFonts w:asciiTheme="minorHAnsi" w:eastAsia="Times New Roman" w:hAnsiTheme="minorHAnsi" w:cstheme="minorHAnsi"/>
                <w:bCs/>
                <w:sz w:val="18"/>
                <w:szCs w:val="18"/>
              </w:rPr>
              <w:t>Vote 4</w:t>
            </w:r>
          </w:p>
        </w:tc>
      </w:tr>
      <w:tr w:rsidR="00986435" w:rsidRPr="000D35FD" w14:paraId="7BC23526" w14:textId="77777777" w:rsidTr="00FE4AF4">
        <w:tc>
          <w:tcPr>
            <w:cnfStyle w:val="001000000000" w:firstRow="0" w:lastRow="0" w:firstColumn="1" w:lastColumn="0" w:oddVBand="0" w:evenVBand="0" w:oddHBand="0" w:evenHBand="0" w:firstRowFirstColumn="0" w:firstRowLastColumn="0" w:lastRowFirstColumn="0" w:lastRowLastColumn="0"/>
            <w:tcW w:w="1402" w:type="dxa"/>
            <w:tcBorders>
              <w:top w:val="none" w:sz="0" w:space="0" w:color="auto"/>
              <w:bottom w:val="none" w:sz="0" w:space="0" w:color="auto"/>
            </w:tcBorders>
          </w:tcPr>
          <w:p w14:paraId="34EF7FAE" w14:textId="77777777" w:rsidR="00986435" w:rsidRPr="0066053E" w:rsidRDefault="00986435" w:rsidP="00FE4AF4">
            <w:pPr>
              <w:rPr>
                <w:rFonts w:asciiTheme="minorHAnsi" w:eastAsia="Times New Roman" w:hAnsiTheme="minorHAnsi" w:cstheme="minorHAnsi"/>
                <w:sz w:val="18"/>
                <w:szCs w:val="18"/>
              </w:rPr>
            </w:pPr>
            <w:r w:rsidRPr="0066053E">
              <w:rPr>
                <w:rFonts w:asciiTheme="minorHAnsi" w:eastAsia="Times New Roman" w:hAnsiTheme="minorHAnsi" w:cstheme="minorHAnsi"/>
                <w:sz w:val="18"/>
                <w:szCs w:val="18"/>
              </w:rPr>
              <w:t>Company name</w:t>
            </w:r>
          </w:p>
        </w:tc>
        <w:tc>
          <w:tcPr>
            <w:tcW w:w="1912" w:type="dxa"/>
          </w:tcPr>
          <w:p w14:paraId="6301F466" w14:textId="77777777" w:rsidR="00986435" w:rsidRPr="0066053E"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Linde Plc</w:t>
            </w:r>
            <w:r w:rsidRPr="0066053E">
              <w:rPr>
                <w:rFonts w:asciiTheme="minorHAnsi" w:eastAsia="Times New Roman" w:hAnsiTheme="minorHAnsi" w:cstheme="minorHAnsi"/>
                <w:sz w:val="18"/>
                <w:szCs w:val="18"/>
              </w:rPr>
              <w:t xml:space="preserve"> </w:t>
            </w:r>
          </w:p>
        </w:tc>
        <w:tc>
          <w:tcPr>
            <w:tcW w:w="1917" w:type="dxa"/>
          </w:tcPr>
          <w:p w14:paraId="5D09E41D"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 xml:space="preserve">Ashtead Group Plc </w:t>
            </w:r>
          </w:p>
        </w:tc>
        <w:tc>
          <w:tcPr>
            <w:tcW w:w="1913" w:type="dxa"/>
          </w:tcPr>
          <w:p w14:paraId="5F811E6D"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6A16B8">
              <w:rPr>
                <w:rFonts w:asciiTheme="minorHAnsi" w:eastAsia="Times New Roman" w:hAnsiTheme="minorHAnsi" w:cstheme="minorHAnsi"/>
                <w:sz w:val="18"/>
                <w:szCs w:val="18"/>
              </w:rPr>
              <w:t xml:space="preserve">EcoLab </w:t>
            </w:r>
          </w:p>
        </w:tc>
        <w:tc>
          <w:tcPr>
            <w:tcW w:w="1913" w:type="dxa"/>
          </w:tcPr>
          <w:p w14:paraId="77791908"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Keyence Corporation</w:t>
            </w:r>
          </w:p>
        </w:tc>
      </w:tr>
      <w:tr w:rsidR="00986435" w:rsidRPr="000D35FD" w14:paraId="56DA4915" w14:textId="77777777" w:rsidTr="00FE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Borders>
              <w:top w:val="none" w:sz="0" w:space="0" w:color="auto"/>
              <w:bottom w:val="none" w:sz="0" w:space="0" w:color="auto"/>
            </w:tcBorders>
          </w:tcPr>
          <w:p w14:paraId="647DECB6" w14:textId="77777777" w:rsidR="00986435" w:rsidRPr="0066053E" w:rsidRDefault="00986435" w:rsidP="00FE4AF4">
            <w:pPr>
              <w:rPr>
                <w:rFonts w:asciiTheme="minorHAnsi" w:eastAsia="Times New Roman" w:hAnsiTheme="minorHAnsi" w:cstheme="minorHAnsi"/>
                <w:sz w:val="18"/>
                <w:szCs w:val="18"/>
              </w:rPr>
            </w:pPr>
            <w:r w:rsidRPr="0066053E">
              <w:rPr>
                <w:rFonts w:asciiTheme="minorHAnsi" w:eastAsia="Times New Roman" w:hAnsiTheme="minorHAnsi" w:cstheme="minorHAnsi"/>
                <w:sz w:val="18"/>
                <w:szCs w:val="18"/>
              </w:rPr>
              <w:t>Date of vote</w:t>
            </w:r>
          </w:p>
        </w:tc>
        <w:tc>
          <w:tcPr>
            <w:tcW w:w="1912" w:type="dxa"/>
          </w:tcPr>
          <w:p w14:paraId="4DEEF056" w14:textId="77777777" w:rsidR="00986435" w:rsidRPr="0066053E"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Not specified </w:t>
            </w:r>
          </w:p>
        </w:tc>
        <w:tc>
          <w:tcPr>
            <w:tcW w:w="1917" w:type="dxa"/>
          </w:tcPr>
          <w:p w14:paraId="6286F47F"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highlight w:val="yellow"/>
              </w:rPr>
            </w:pPr>
            <w:r>
              <w:rPr>
                <w:rFonts w:asciiTheme="minorHAnsi" w:eastAsia="Times New Roman" w:hAnsiTheme="minorHAnsi" w:cstheme="minorHAnsi"/>
                <w:sz w:val="18"/>
                <w:szCs w:val="18"/>
              </w:rPr>
              <w:t xml:space="preserve">Not specified </w:t>
            </w:r>
          </w:p>
        </w:tc>
        <w:tc>
          <w:tcPr>
            <w:tcW w:w="1913" w:type="dxa"/>
          </w:tcPr>
          <w:p w14:paraId="6E5EA37F"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highlight w:val="yellow"/>
              </w:rPr>
            </w:pPr>
            <w:r>
              <w:rPr>
                <w:rFonts w:asciiTheme="minorHAnsi" w:eastAsia="Times New Roman" w:hAnsiTheme="minorHAnsi" w:cstheme="minorHAnsi"/>
                <w:sz w:val="18"/>
                <w:szCs w:val="18"/>
              </w:rPr>
              <w:t xml:space="preserve">Not specified </w:t>
            </w:r>
          </w:p>
        </w:tc>
        <w:tc>
          <w:tcPr>
            <w:tcW w:w="1913" w:type="dxa"/>
          </w:tcPr>
          <w:p w14:paraId="3FB3268A"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highlight w:val="yellow"/>
              </w:rPr>
            </w:pPr>
            <w:r>
              <w:rPr>
                <w:rFonts w:asciiTheme="minorHAnsi" w:eastAsia="Times New Roman" w:hAnsiTheme="minorHAnsi" w:cstheme="minorHAnsi"/>
                <w:sz w:val="18"/>
                <w:szCs w:val="18"/>
              </w:rPr>
              <w:t xml:space="preserve">Not specified </w:t>
            </w:r>
          </w:p>
        </w:tc>
      </w:tr>
      <w:tr w:rsidR="00986435" w:rsidRPr="000D35FD" w14:paraId="716E82DD" w14:textId="77777777" w:rsidTr="00FE4AF4">
        <w:tc>
          <w:tcPr>
            <w:cnfStyle w:val="001000000000" w:firstRow="0" w:lastRow="0" w:firstColumn="1" w:lastColumn="0" w:oddVBand="0" w:evenVBand="0" w:oddHBand="0" w:evenHBand="0" w:firstRowFirstColumn="0" w:firstRowLastColumn="0" w:lastRowFirstColumn="0" w:lastRowLastColumn="0"/>
            <w:tcW w:w="1402" w:type="dxa"/>
            <w:tcBorders>
              <w:top w:val="none" w:sz="0" w:space="0" w:color="auto"/>
              <w:bottom w:val="none" w:sz="0" w:space="0" w:color="auto"/>
            </w:tcBorders>
          </w:tcPr>
          <w:p w14:paraId="0F329960" w14:textId="77777777" w:rsidR="00986435" w:rsidRPr="0066053E" w:rsidRDefault="00986435" w:rsidP="00FE4AF4">
            <w:pPr>
              <w:rPr>
                <w:sz w:val="18"/>
                <w:szCs w:val="18"/>
              </w:rPr>
            </w:pPr>
            <w:r w:rsidRPr="0066053E">
              <w:rPr>
                <w:rFonts w:asciiTheme="minorHAnsi" w:eastAsia="Times New Roman" w:hAnsiTheme="minorHAnsi" w:cstheme="minorHAnsi"/>
                <w:sz w:val="18"/>
                <w:szCs w:val="18"/>
              </w:rPr>
              <w:lastRenderedPageBreak/>
              <w:t>Approximate size of % holding as at the date of the vote</w:t>
            </w:r>
          </w:p>
        </w:tc>
        <w:tc>
          <w:tcPr>
            <w:tcW w:w="1912" w:type="dxa"/>
          </w:tcPr>
          <w:p w14:paraId="2332BD30"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3.7%</w:t>
            </w:r>
          </w:p>
        </w:tc>
        <w:tc>
          <w:tcPr>
            <w:tcW w:w="1917" w:type="dxa"/>
          </w:tcPr>
          <w:p w14:paraId="6C908E96"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1.0%</w:t>
            </w:r>
          </w:p>
        </w:tc>
        <w:tc>
          <w:tcPr>
            <w:tcW w:w="1913" w:type="dxa"/>
          </w:tcPr>
          <w:p w14:paraId="00BAFA85"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0.0%</w:t>
            </w:r>
          </w:p>
        </w:tc>
        <w:tc>
          <w:tcPr>
            <w:tcW w:w="1913" w:type="dxa"/>
          </w:tcPr>
          <w:p w14:paraId="202974B2"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2.4%</w:t>
            </w:r>
          </w:p>
        </w:tc>
      </w:tr>
      <w:tr w:rsidR="00986435" w:rsidRPr="000D35FD" w14:paraId="2890CE54" w14:textId="77777777" w:rsidTr="00FE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Borders>
              <w:top w:val="none" w:sz="0" w:space="0" w:color="auto"/>
              <w:bottom w:val="none" w:sz="0" w:space="0" w:color="auto"/>
            </w:tcBorders>
          </w:tcPr>
          <w:p w14:paraId="379F5873" w14:textId="77777777" w:rsidR="00986435" w:rsidRPr="0066053E" w:rsidRDefault="00986435" w:rsidP="00FE4AF4">
            <w:pPr>
              <w:rPr>
                <w:sz w:val="18"/>
                <w:szCs w:val="18"/>
              </w:rPr>
            </w:pPr>
            <w:r w:rsidRPr="0066053E">
              <w:rPr>
                <w:rFonts w:asciiTheme="minorHAnsi" w:eastAsia="Times New Roman" w:hAnsiTheme="minorHAnsi" w:cstheme="minorHAnsi"/>
                <w:sz w:val="18"/>
                <w:szCs w:val="18"/>
              </w:rPr>
              <w:t>Summary of the resolution</w:t>
            </w:r>
          </w:p>
        </w:tc>
        <w:tc>
          <w:tcPr>
            <w:tcW w:w="1912" w:type="dxa"/>
          </w:tcPr>
          <w:p w14:paraId="77111542"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sz w:val="18"/>
                <w:szCs w:val="18"/>
              </w:rPr>
            </w:pPr>
            <w:r w:rsidRPr="006A16B8">
              <w:rPr>
                <w:rFonts w:asciiTheme="minorHAnsi" w:eastAsia="Times New Roman" w:hAnsiTheme="minorHAnsi" w:cstheme="minorHAnsi"/>
                <w:sz w:val="18"/>
                <w:szCs w:val="18"/>
              </w:rPr>
              <w:t xml:space="preserve">Remuneration Report </w:t>
            </w:r>
          </w:p>
        </w:tc>
        <w:tc>
          <w:tcPr>
            <w:tcW w:w="1917" w:type="dxa"/>
          </w:tcPr>
          <w:p w14:paraId="65696AE1"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6A16B8">
              <w:rPr>
                <w:rFonts w:asciiTheme="minorHAnsi" w:eastAsia="Times New Roman" w:hAnsiTheme="minorHAnsi" w:cstheme="minorHAnsi"/>
                <w:sz w:val="18"/>
                <w:szCs w:val="18"/>
              </w:rPr>
              <w:t>Elect Brendan Horgan</w:t>
            </w:r>
          </w:p>
        </w:tc>
        <w:tc>
          <w:tcPr>
            <w:tcW w:w="1913" w:type="dxa"/>
          </w:tcPr>
          <w:p w14:paraId="183614C7"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6A16B8">
              <w:rPr>
                <w:rFonts w:asciiTheme="minorHAnsi" w:eastAsia="Times New Roman" w:hAnsiTheme="minorHAnsi" w:cstheme="minorHAnsi"/>
                <w:sz w:val="18"/>
                <w:szCs w:val="18"/>
              </w:rPr>
              <w:t>Elect John J. Zillmer</w:t>
            </w:r>
          </w:p>
        </w:tc>
        <w:tc>
          <w:tcPr>
            <w:tcW w:w="1913" w:type="dxa"/>
          </w:tcPr>
          <w:p w14:paraId="6DC7E45E"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highlight w:val="yellow"/>
              </w:rPr>
            </w:pPr>
            <w:r w:rsidRPr="006A16B8">
              <w:rPr>
                <w:rFonts w:asciiTheme="minorHAnsi" w:eastAsia="Times New Roman" w:hAnsiTheme="minorHAnsi" w:cstheme="minorHAnsi"/>
                <w:sz w:val="18"/>
                <w:szCs w:val="18"/>
              </w:rPr>
              <w:t>Elect Yu Nakata</w:t>
            </w:r>
          </w:p>
        </w:tc>
      </w:tr>
      <w:tr w:rsidR="00986435" w:rsidRPr="000D35FD" w14:paraId="513A942C" w14:textId="77777777" w:rsidTr="00FE4AF4">
        <w:tc>
          <w:tcPr>
            <w:cnfStyle w:val="001000000000" w:firstRow="0" w:lastRow="0" w:firstColumn="1" w:lastColumn="0" w:oddVBand="0" w:evenVBand="0" w:oddHBand="0" w:evenHBand="0" w:firstRowFirstColumn="0" w:firstRowLastColumn="0" w:lastRowFirstColumn="0" w:lastRowLastColumn="0"/>
            <w:tcW w:w="1402" w:type="dxa"/>
            <w:tcBorders>
              <w:top w:val="none" w:sz="0" w:space="0" w:color="auto"/>
            </w:tcBorders>
          </w:tcPr>
          <w:p w14:paraId="564840CF" w14:textId="77777777" w:rsidR="00986435" w:rsidRPr="0066053E" w:rsidRDefault="00986435" w:rsidP="00FE4AF4">
            <w:pPr>
              <w:rPr>
                <w:sz w:val="18"/>
                <w:szCs w:val="18"/>
              </w:rPr>
            </w:pPr>
            <w:r>
              <w:rPr>
                <w:rFonts w:asciiTheme="minorHAnsi" w:eastAsia="Times New Roman" w:hAnsiTheme="minorHAnsi" w:cstheme="minorHAnsi"/>
                <w:sz w:val="18"/>
                <w:szCs w:val="18"/>
              </w:rPr>
              <w:t>Impax</w:t>
            </w:r>
            <w:r w:rsidRPr="0066053E">
              <w:rPr>
                <w:rFonts w:asciiTheme="minorHAnsi" w:eastAsia="Times New Roman" w:hAnsiTheme="minorHAnsi" w:cstheme="minorHAnsi"/>
                <w:sz w:val="18"/>
                <w:szCs w:val="18"/>
              </w:rPr>
              <w:t>’s vote</w:t>
            </w:r>
          </w:p>
        </w:tc>
        <w:tc>
          <w:tcPr>
            <w:tcW w:w="1912" w:type="dxa"/>
          </w:tcPr>
          <w:p w14:paraId="2CEB2C4D"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Against</w:t>
            </w:r>
          </w:p>
        </w:tc>
        <w:tc>
          <w:tcPr>
            <w:tcW w:w="1917" w:type="dxa"/>
          </w:tcPr>
          <w:p w14:paraId="550F5D6A"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6A16B8">
              <w:rPr>
                <w:rFonts w:asciiTheme="minorHAnsi" w:eastAsia="Times New Roman" w:hAnsiTheme="minorHAnsi" w:cstheme="minorHAnsi"/>
                <w:sz w:val="18"/>
                <w:szCs w:val="18"/>
              </w:rPr>
              <w:t>Against</w:t>
            </w:r>
          </w:p>
        </w:tc>
        <w:tc>
          <w:tcPr>
            <w:tcW w:w="1913" w:type="dxa"/>
          </w:tcPr>
          <w:p w14:paraId="497F845F"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6A16B8">
              <w:rPr>
                <w:rFonts w:asciiTheme="minorHAnsi" w:eastAsia="Times New Roman" w:hAnsiTheme="minorHAnsi" w:cstheme="minorHAnsi"/>
                <w:sz w:val="18"/>
                <w:szCs w:val="18"/>
              </w:rPr>
              <w:t>Against</w:t>
            </w:r>
          </w:p>
        </w:tc>
        <w:tc>
          <w:tcPr>
            <w:tcW w:w="1913" w:type="dxa"/>
          </w:tcPr>
          <w:p w14:paraId="3C061AB0"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6A16B8">
              <w:rPr>
                <w:rFonts w:asciiTheme="minorHAnsi" w:eastAsia="Times New Roman" w:hAnsiTheme="minorHAnsi" w:cstheme="minorHAnsi"/>
                <w:sz w:val="18"/>
                <w:szCs w:val="18"/>
              </w:rPr>
              <w:t>Against</w:t>
            </w:r>
          </w:p>
        </w:tc>
      </w:tr>
      <w:tr w:rsidR="00420BD0" w:rsidRPr="000D35FD" w14:paraId="10F4047F" w14:textId="77777777" w:rsidTr="00FE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Pr>
          <w:p w14:paraId="3892692A" w14:textId="2B673222" w:rsidR="00420BD0" w:rsidRDefault="00420BD0" w:rsidP="00FE4AF4">
            <w:pPr>
              <w:rPr>
                <w:rFonts w:asciiTheme="minorHAnsi" w:eastAsia="Times New Roman" w:hAnsiTheme="minorHAnsi" w:cstheme="minorHAnsi"/>
                <w:sz w:val="18"/>
                <w:szCs w:val="18"/>
              </w:rPr>
            </w:pPr>
            <w:r>
              <w:rPr>
                <w:rFonts w:asciiTheme="minorHAnsi" w:eastAsia="Times New Roman" w:hAnsiTheme="minorHAnsi" w:cstheme="minorHAnsi"/>
                <w:sz w:val="18"/>
                <w:szCs w:val="18"/>
              </w:rPr>
              <w:t>Rationale</w:t>
            </w:r>
          </w:p>
        </w:tc>
        <w:tc>
          <w:tcPr>
            <w:tcW w:w="1912" w:type="dxa"/>
          </w:tcPr>
          <w:p w14:paraId="63D9454D" w14:textId="77E25EE6" w:rsidR="00420BD0" w:rsidRPr="006A16B8" w:rsidRDefault="00802957"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802957">
              <w:rPr>
                <w:rFonts w:asciiTheme="minorHAnsi" w:eastAsia="Times New Roman" w:hAnsiTheme="minorHAnsi" w:cstheme="minorHAnsi"/>
                <w:sz w:val="18"/>
                <w:szCs w:val="18"/>
              </w:rPr>
              <w:t>Pay and performance misalignment</w:t>
            </w:r>
          </w:p>
        </w:tc>
        <w:tc>
          <w:tcPr>
            <w:tcW w:w="1917" w:type="dxa"/>
          </w:tcPr>
          <w:p w14:paraId="21447B08" w14:textId="30E97296" w:rsidR="00420BD0" w:rsidRPr="006A16B8" w:rsidRDefault="001C187E"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1C187E">
              <w:rPr>
                <w:rFonts w:asciiTheme="minorHAnsi" w:eastAsia="Times New Roman" w:hAnsiTheme="minorHAnsi" w:cstheme="minorHAnsi"/>
                <w:sz w:val="18"/>
                <w:szCs w:val="18"/>
              </w:rPr>
              <w:t>CEO sitting on the nominating committee</w:t>
            </w:r>
          </w:p>
        </w:tc>
        <w:tc>
          <w:tcPr>
            <w:tcW w:w="1913" w:type="dxa"/>
          </w:tcPr>
          <w:p w14:paraId="5B30B680" w14:textId="0DF23EB1" w:rsidR="00420BD0" w:rsidRPr="006A16B8" w:rsidRDefault="001C187E"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1C187E">
              <w:rPr>
                <w:rFonts w:asciiTheme="minorHAnsi" w:eastAsia="Times New Roman" w:hAnsiTheme="minorHAnsi" w:cstheme="minorHAnsi"/>
                <w:sz w:val="18"/>
                <w:szCs w:val="18"/>
              </w:rPr>
              <w:t>Director is a CEO and serves on two or more public boards</w:t>
            </w:r>
          </w:p>
        </w:tc>
        <w:tc>
          <w:tcPr>
            <w:tcW w:w="1913" w:type="dxa"/>
          </w:tcPr>
          <w:p w14:paraId="76D6291C" w14:textId="5615F63B" w:rsidR="001C187E" w:rsidRPr="006A16B8" w:rsidRDefault="001C187E"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1C187E">
              <w:rPr>
                <w:rFonts w:asciiTheme="minorHAnsi" w:eastAsia="Times New Roman" w:hAnsiTheme="minorHAnsi" w:cstheme="minorHAnsi"/>
                <w:sz w:val="18"/>
                <w:szCs w:val="18"/>
              </w:rPr>
              <w:t>Multiple issues: lack of key board committee, we vote against the Chairman when CEO and Chair are held by the same person and a lead independent director has not been appointed</w:t>
            </w:r>
          </w:p>
        </w:tc>
      </w:tr>
    </w:tbl>
    <w:p w14:paraId="4F534BB4" w14:textId="77777777" w:rsidR="00986435" w:rsidRDefault="00986435" w:rsidP="00986435">
      <w:pPr>
        <w:pStyle w:val="BodyTextFirst"/>
        <w:spacing w:before="240"/>
        <w:rPr>
          <w:rFonts w:cs="Calibri"/>
          <w:b/>
          <w:bCs/>
          <w:szCs w:val="20"/>
        </w:rPr>
      </w:pPr>
    </w:p>
    <w:tbl>
      <w:tblPr>
        <w:tblStyle w:val="RedingtonTable"/>
        <w:tblW w:w="9043" w:type="dxa"/>
        <w:tblInd w:w="15" w:type="dxa"/>
        <w:tblLayout w:type="fixed"/>
        <w:tblLook w:val="04A0" w:firstRow="1" w:lastRow="0" w:firstColumn="1" w:lastColumn="0" w:noHBand="0" w:noVBand="1"/>
      </w:tblPr>
      <w:tblGrid>
        <w:gridCol w:w="1261"/>
        <w:gridCol w:w="1556"/>
        <w:gridCol w:w="1556"/>
        <w:gridCol w:w="1557"/>
        <w:gridCol w:w="1556"/>
        <w:gridCol w:w="1557"/>
      </w:tblGrid>
      <w:tr w:rsidR="00986435" w:rsidRPr="000D35FD" w14:paraId="5BC0F242" w14:textId="77777777" w:rsidTr="00FE4AF4">
        <w:trPr>
          <w:cnfStyle w:val="100000000000" w:firstRow="1" w:lastRow="0" w:firstColumn="0" w:lastColumn="0" w:oddVBand="0" w:evenVBand="0" w:oddHBand="0" w:evenHBand="0" w:firstRowFirstColumn="0" w:firstRowLastColumn="0" w:lastRowFirstColumn="0" w:lastRowLastColumn="0"/>
          <w:trHeight w:val="216"/>
          <w:tblHeader/>
        </w:trPr>
        <w:tc>
          <w:tcPr>
            <w:cnfStyle w:val="001000000000" w:firstRow="0" w:lastRow="0" w:firstColumn="1" w:lastColumn="0" w:oddVBand="0" w:evenVBand="0" w:oddHBand="0" w:evenHBand="0" w:firstRowFirstColumn="0" w:firstRowLastColumn="0" w:lastRowFirstColumn="0" w:lastRowLastColumn="0"/>
            <w:tcW w:w="1261" w:type="dxa"/>
          </w:tcPr>
          <w:p w14:paraId="498C0B90" w14:textId="77777777" w:rsidR="00986435" w:rsidRPr="0066053E" w:rsidRDefault="00986435" w:rsidP="00FE4AF4">
            <w:pPr>
              <w:rPr>
                <w:sz w:val="18"/>
                <w:szCs w:val="18"/>
              </w:rPr>
            </w:pPr>
          </w:p>
        </w:tc>
        <w:tc>
          <w:tcPr>
            <w:tcW w:w="1556" w:type="dxa"/>
          </w:tcPr>
          <w:p w14:paraId="1CA45E9E" w14:textId="1D4E0A43" w:rsidR="00986435" w:rsidRPr="0066053E" w:rsidRDefault="00D47346"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426536">
              <w:rPr>
                <w:rFonts w:asciiTheme="minorHAnsi" w:eastAsia="Times New Roman" w:hAnsiTheme="minorHAnsi" w:cstheme="minorHAnsi"/>
                <w:bCs/>
                <w:sz w:val="18"/>
                <w:szCs w:val="18"/>
              </w:rPr>
              <w:t>Vote 5</w:t>
            </w:r>
          </w:p>
        </w:tc>
        <w:tc>
          <w:tcPr>
            <w:tcW w:w="1556" w:type="dxa"/>
          </w:tcPr>
          <w:p w14:paraId="68CE9BED" w14:textId="77777777" w:rsidR="00986435" w:rsidRPr="0066053E"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66053E">
              <w:rPr>
                <w:rFonts w:asciiTheme="minorHAnsi" w:eastAsia="Times New Roman" w:hAnsiTheme="minorHAnsi" w:cstheme="minorHAnsi"/>
                <w:bCs/>
                <w:sz w:val="18"/>
                <w:szCs w:val="18"/>
              </w:rPr>
              <w:t xml:space="preserve">Vote </w:t>
            </w:r>
            <w:r>
              <w:rPr>
                <w:rFonts w:asciiTheme="minorHAnsi" w:eastAsia="Times New Roman" w:hAnsiTheme="minorHAnsi" w:cstheme="minorHAnsi"/>
                <w:bCs/>
                <w:sz w:val="18"/>
                <w:szCs w:val="18"/>
              </w:rPr>
              <w:t>6</w:t>
            </w:r>
          </w:p>
        </w:tc>
        <w:tc>
          <w:tcPr>
            <w:tcW w:w="1557" w:type="dxa"/>
          </w:tcPr>
          <w:p w14:paraId="5940CCB4" w14:textId="77777777" w:rsidR="00986435" w:rsidRPr="0066053E"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66053E">
              <w:rPr>
                <w:rFonts w:asciiTheme="minorHAnsi" w:eastAsia="Times New Roman" w:hAnsiTheme="minorHAnsi" w:cstheme="minorHAnsi"/>
                <w:bCs/>
                <w:sz w:val="18"/>
                <w:szCs w:val="18"/>
              </w:rPr>
              <w:t xml:space="preserve">Vote </w:t>
            </w:r>
            <w:r>
              <w:rPr>
                <w:rFonts w:asciiTheme="minorHAnsi" w:eastAsia="Times New Roman" w:hAnsiTheme="minorHAnsi" w:cstheme="minorHAnsi"/>
                <w:bCs/>
                <w:sz w:val="18"/>
                <w:szCs w:val="18"/>
              </w:rPr>
              <w:t>7</w:t>
            </w:r>
          </w:p>
        </w:tc>
        <w:tc>
          <w:tcPr>
            <w:tcW w:w="1556" w:type="dxa"/>
          </w:tcPr>
          <w:p w14:paraId="25FA0E07" w14:textId="77777777" w:rsidR="00986435" w:rsidRPr="0066053E"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66053E">
              <w:rPr>
                <w:rFonts w:asciiTheme="minorHAnsi" w:eastAsia="Times New Roman" w:hAnsiTheme="minorHAnsi" w:cstheme="minorHAnsi"/>
                <w:bCs/>
                <w:sz w:val="18"/>
                <w:szCs w:val="18"/>
              </w:rPr>
              <w:t xml:space="preserve">Vote </w:t>
            </w:r>
            <w:r>
              <w:rPr>
                <w:rFonts w:asciiTheme="minorHAnsi" w:eastAsia="Times New Roman" w:hAnsiTheme="minorHAnsi" w:cstheme="minorHAnsi"/>
                <w:bCs/>
                <w:sz w:val="18"/>
                <w:szCs w:val="18"/>
              </w:rPr>
              <w:t>8</w:t>
            </w:r>
          </w:p>
        </w:tc>
        <w:tc>
          <w:tcPr>
            <w:tcW w:w="1557" w:type="dxa"/>
          </w:tcPr>
          <w:p w14:paraId="04F8E6F5" w14:textId="77777777" w:rsidR="00986435" w:rsidRPr="00202C25" w:rsidRDefault="00986435" w:rsidP="00FE4A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rPr>
            </w:pPr>
            <w:r w:rsidRPr="00202C25">
              <w:rPr>
                <w:rFonts w:asciiTheme="minorHAnsi" w:eastAsia="Times New Roman" w:hAnsiTheme="minorHAnsi" w:cstheme="minorHAnsi"/>
                <w:bCs/>
                <w:sz w:val="18"/>
                <w:szCs w:val="18"/>
              </w:rPr>
              <w:t>Vote 9</w:t>
            </w:r>
          </w:p>
        </w:tc>
      </w:tr>
      <w:tr w:rsidR="00986435" w:rsidRPr="000D35FD" w14:paraId="07DD73E2" w14:textId="77777777" w:rsidTr="00FE4AF4">
        <w:trPr>
          <w:trHeight w:val="216"/>
        </w:trPr>
        <w:tc>
          <w:tcPr>
            <w:cnfStyle w:val="001000000000" w:firstRow="0" w:lastRow="0" w:firstColumn="1" w:lastColumn="0" w:oddVBand="0" w:evenVBand="0" w:oddHBand="0" w:evenHBand="0" w:firstRowFirstColumn="0" w:firstRowLastColumn="0" w:lastRowFirstColumn="0" w:lastRowLastColumn="0"/>
            <w:tcW w:w="1261" w:type="dxa"/>
          </w:tcPr>
          <w:p w14:paraId="141AC318" w14:textId="77777777" w:rsidR="00986435" w:rsidRPr="0066053E" w:rsidRDefault="00986435" w:rsidP="00FE4AF4">
            <w:pPr>
              <w:rPr>
                <w:rFonts w:asciiTheme="minorHAnsi" w:eastAsia="Times New Roman" w:hAnsiTheme="minorHAnsi" w:cstheme="minorHAnsi"/>
                <w:sz w:val="18"/>
                <w:szCs w:val="18"/>
              </w:rPr>
            </w:pPr>
            <w:r w:rsidRPr="0066053E">
              <w:rPr>
                <w:rFonts w:asciiTheme="minorHAnsi" w:eastAsia="Times New Roman" w:hAnsiTheme="minorHAnsi" w:cstheme="minorHAnsi"/>
                <w:sz w:val="18"/>
                <w:szCs w:val="18"/>
              </w:rPr>
              <w:t>Company name</w:t>
            </w:r>
          </w:p>
        </w:tc>
        <w:tc>
          <w:tcPr>
            <w:tcW w:w="1556" w:type="dxa"/>
          </w:tcPr>
          <w:p w14:paraId="61BB1F85" w14:textId="77777777" w:rsidR="00986435" w:rsidRPr="00D47346"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426536">
              <w:rPr>
                <w:rFonts w:asciiTheme="minorHAnsi" w:hAnsiTheme="minorHAnsi" w:cstheme="minorHAnsi"/>
              </w:rPr>
              <w:t>Evotec SE</w:t>
            </w:r>
          </w:p>
        </w:tc>
        <w:tc>
          <w:tcPr>
            <w:tcW w:w="1556" w:type="dxa"/>
          </w:tcPr>
          <w:p w14:paraId="62B52D2C"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202C25">
              <w:rPr>
                <w:rFonts w:asciiTheme="minorHAnsi" w:eastAsia="Times New Roman" w:hAnsiTheme="minorHAnsi" w:cstheme="minorHAnsi"/>
                <w:sz w:val="18"/>
                <w:szCs w:val="18"/>
              </w:rPr>
              <w:t>IQVIA Holdings Inc</w:t>
            </w:r>
          </w:p>
        </w:tc>
        <w:tc>
          <w:tcPr>
            <w:tcW w:w="1557" w:type="dxa"/>
          </w:tcPr>
          <w:p w14:paraId="5B92D47D"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Visa Inc.</w:t>
            </w:r>
          </w:p>
        </w:tc>
        <w:tc>
          <w:tcPr>
            <w:tcW w:w="1556" w:type="dxa"/>
          </w:tcPr>
          <w:p w14:paraId="2AEEA1A5"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202C25">
              <w:rPr>
                <w:rFonts w:asciiTheme="minorHAnsi" w:eastAsia="Times New Roman" w:hAnsiTheme="minorHAnsi" w:cstheme="minorHAnsi"/>
                <w:sz w:val="18"/>
                <w:szCs w:val="18"/>
              </w:rPr>
              <w:t>Kubota Corporation</w:t>
            </w:r>
          </w:p>
        </w:tc>
        <w:tc>
          <w:tcPr>
            <w:tcW w:w="1557" w:type="dxa"/>
          </w:tcPr>
          <w:p w14:paraId="1FBBEF71"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 xml:space="preserve">Linde Plc </w:t>
            </w:r>
          </w:p>
        </w:tc>
      </w:tr>
      <w:tr w:rsidR="00986435" w:rsidRPr="000D35FD" w14:paraId="33CD0810" w14:textId="77777777" w:rsidTr="00FE4AF4">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1" w:type="dxa"/>
          </w:tcPr>
          <w:p w14:paraId="55B3508F" w14:textId="77777777" w:rsidR="00986435" w:rsidRPr="0066053E" w:rsidRDefault="00986435" w:rsidP="00FE4AF4">
            <w:pPr>
              <w:rPr>
                <w:rFonts w:asciiTheme="minorHAnsi" w:eastAsia="Times New Roman" w:hAnsiTheme="minorHAnsi" w:cstheme="minorHAnsi"/>
                <w:sz w:val="18"/>
                <w:szCs w:val="18"/>
              </w:rPr>
            </w:pPr>
            <w:r w:rsidRPr="0066053E">
              <w:rPr>
                <w:rFonts w:asciiTheme="minorHAnsi" w:eastAsia="Times New Roman" w:hAnsiTheme="minorHAnsi" w:cstheme="minorHAnsi"/>
                <w:sz w:val="18"/>
                <w:szCs w:val="18"/>
              </w:rPr>
              <w:t>Date of vote</w:t>
            </w:r>
          </w:p>
        </w:tc>
        <w:tc>
          <w:tcPr>
            <w:tcW w:w="1556" w:type="dxa"/>
          </w:tcPr>
          <w:p w14:paraId="5B266546" w14:textId="77777777" w:rsidR="00986435" w:rsidRPr="00202C25"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 xml:space="preserve">Not specified </w:t>
            </w:r>
          </w:p>
        </w:tc>
        <w:tc>
          <w:tcPr>
            <w:tcW w:w="1556" w:type="dxa"/>
          </w:tcPr>
          <w:p w14:paraId="6B081AC6" w14:textId="77777777" w:rsidR="00986435" w:rsidRPr="00202C25"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 xml:space="preserve">Not specified </w:t>
            </w:r>
          </w:p>
        </w:tc>
        <w:tc>
          <w:tcPr>
            <w:tcW w:w="1557" w:type="dxa"/>
          </w:tcPr>
          <w:p w14:paraId="30F810CC" w14:textId="77777777" w:rsidR="00986435" w:rsidRPr="00202C25"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 xml:space="preserve">Not specified </w:t>
            </w:r>
          </w:p>
        </w:tc>
        <w:tc>
          <w:tcPr>
            <w:tcW w:w="1556" w:type="dxa"/>
          </w:tcPr>
          <w:p w14:paraId="37A9271F" w14:textId="77777777" w:rsidR="00986435" w:rsidRPr="00202C25"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 xml:space="preserve">Not specified </w:t>
            </w:r>
          </w:p>
        </w:tc>
        <w:tc>
          <w:tcPr>
            <w:tcW w:w="1557" w:type="dxa"/>
          </w:tcPr>
          <w:p w14:paraId="6F4E8EE6" w14:textId="77777777" w:rsidR="00986435" w:rsidRPr="00202C25"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 xml:space="preserve">Not specified </w:t>
            </w:r>
          </w:p>
        </w:tc>
      </w:tr>
      <w:tr w:rsidR="00986435" w:rsidRPr="000D35FD" w14:paraId="066E9653" w14:textId="77777777" w:rsidTr="00FE4AF4">
        <w:trPr>
          <w:trHeight w:val="1084"/>
        </w:trPr>
        <w:tc>
          <w:tcPr>
            <w:cnfStyle w:val="001000000000" w:firstRow="0" w:lastRow="0" w:firstColumn="1" w:lastColumn="0" w:oddVBand="0" w:evenVBand="0" w:oddHBand="0" w:evenHBand="0" w:firstRowFirstColumn="0" w:firstRowLastColumn="0" w:lastRowFirstColumn="0" w:lastRowLastColumn="0"/>
            <w:tcW w:w="1261" w:type="dxa"/>
          </w:tcPr>
          <w:p w14:paraId="5BBB270D" w14:textId="77777777" w:rsidR="00986435" w:rsidRPr="0066053E" w:rsidRDefault="00986435" w:rsidP="00FE4AF4">
            <w:pPr>
              <w:rPr>
                <w:sz w:val="18"/>
                <w:szCs w:val="18"/>
              </w:rPr>
            </w:pPr>
            <w:r w:rsidRPr="0066053E">
              <w:rPr>
                <w:rFonts w:asciiTheme="minorHAnsi" w:eastAsia="Times New Roman" w:hAnsiTheme="minorHAnsi" w:cstheme="minorHAnsi"/>
                <w:sz w:val="18"/>
                <w:szCs w:val="18"/>
              </w:rPr>
              <w:t>Approximate size of % holding as at the date of the vote</w:t>
            </w:r>
          </w:p>
        </w:tc>
        <w:tc>
          <w:tcPr>
            <w:tcW w:w="1556" w:type="dxa"/>
          </w:tcPr>
          <w:p w14:paraId="35D60460"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1.8%</w:t>
            </w:r>
          </w:p>
        </w:tc>
        <w:tc>
          <w:tcPr>
            <w:tcW w:w="1556" w:type="dxa"/>
          </w:tcPr>
          <w:p w14:paraId="6E72AADE"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3.8%</w:t>
            </w:r>
          </w:p>
        </w:tc>
        <w:tc>
          <w:tcPr>
            <w:tcW w:w="1557" w:type="dxa"/>
          </w:tcPr>
          <w:p w14:paraId="4011F83D"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2.1%</w:t>
            </w:r>
          </w:p>
        </w:tc>
        <w:tc>
          <w:tcPr>
            <w:tcW w:w="1556" w:type="dxa"/>
          </w:tcPr>
          <w:p w14:paraId="0C6D2417"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202C25">
              <w:rPr>
                <w:rFonts w:asciiTheme="minorHAnsi" w:eastAsia="Times New Roman" w:hAnsiTheme="minorHAnsi" w:cstheme="minorHAnsi"/>
                <w:sz w:val="18"/>
                <w:szCs w:val="18"/>
              </w:rPr>
              <w:t>2.5%</w:t>
            </w:r>
          </w:p>
        </w:tc>
        <w:tc>
          <w:tcPr>
            <w:tcW w:w="1557" w:type="dxa"/>
          </w:tcPr>
          <w:p w14:paraId="520E375C"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3.7%</w:t>
            </w:r>
          </w:p>
        </w:tc>
      </w:tr>
      <w:tr w:rsidR="00986435" w:rsidRPr="000D35FD" w14:paraId="4BDC3C0D" w14:textId="77777777" w:rsidTr="00FE4AF4">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61" w:type="dxa"/>
          </w:tcPr>
          <w:p w14:paraId="5B898FB8" w14:textId="77777777" w:rsidR="00986435" w:rsidRPr="0066053E" w:rsidRDefault="00986435" w:rsidP="00FE4AF4">
            <w:pPr>
              <w:rPr>
                <w:sz w:val="18"/>
                <w:szCs w:val="18"/>
              </w:rPr>
            </w:pPr>
            <w:r w:rsidRPr="0066053E">
              <w:rPr>
                <w:rFonts w:asciiTheme="minorHAnsi" w:eastAsia="Times New Roman" w:hAnsiTheme="minorHAnsi" w:cstheme="minorHAnsi"/>
                <w:sz w:val="18"/>
                <w:szCs w:val="18"/>
              </w:rPr>
              <w:t>Summary of the resolution</w:t>
            </w:r>
          </w:p>
        </w:tc>
        <w:tc>
          <w:tcPr>
            <w:tcW w:w="1556" w:type="dxa"/>
          </w:tcPr>
          <w:p w14:paraId="475B6E12" w14:textId="77777777" w:rsidR="00986435" w:rsidRPr="00202C25" w:rsidRDefault="00986435" w:rsidP="00FE4AF4">
            <w:pPr>
              <w:cnfStyle w:val="000000010000" w:firstRow="0" w:lastRow="0" w:firstColumn="0" w:lastColumn="0" w:oddVBand="0" w:evenVBand="0" w:oddHBand="0" w:evenHBand="1" w:firstRowFirstColumn="0" w:firstRowLastColumn="0" w:lastRowFirstColumn="0" w:lastRowLastColumn="0"/>
              <w:rPr>
                <w:sz w:val="18"/>
                <w:szCs w:val="18"/>
              </w:rPr>
            </w:pPr>
            <w:r w:rsidRPr="00202C25">
              <w:rPr>
                <w:rFonts w:asciiTheme="minorHAnsi" w:eastAsia="Times New Roman" w:hAnsiTheme="minorHAnsi" w:cstheme="minorHAnsi"/>
                <w:sz w:val="18"/>
                <w:szCs w:val="18"/>
              </w:rPr>
              <w:t xml:space="preserve">Remuneration Report </w:t>
            </w:r>
          </w:p>
        </w:tc>
        <w:tc>
          <w:tcPr>
            <w:tcW w:w="1556" w:type="dxa"/>
          </w:tcPr>
          <w:p w14:paraId="199A756B"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202C25">
              <w:rPr>
                <w:rFonts w:asciiTheme="minorHAnsi" w:eastAsia="Times New Roman" w:hAnsiTheme="minorHAnsi" w:cstheme="minorHAnsi"/>
                <w:sz w:val="18"/>
                <w:szCs w:val="18"/>
              </w:rPr>
              <w:t>Advisory Vote on Executive Compensation</w:t>
            </w:r>
          </w:p>
        </w:tc>
        <w:tc>
          <w:tcPr>
            <w:tcW w:w="1557" w:type="dxa"/>
          </w:tcPr>
          <w:p w14:paraId="55974B48"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202C25">
              <w:rPr>
                <w:rFonts w:asciiTheme="minorHAnsi" w:eastAsia="Times New Roman" w:hAnsiTheme="minorHAnsi" w:cstheme="minorHAnsi"/>
                <w:sz w:val="18"/>
                <w:szCs w:val="18"/>
              </w:rPr>
              <w:t>Elect Lloyd A. Carney</w:t>
            </w:r>
          </w:p>
        </w:tc>
        <w:tc>
          <w:tcPr>
            <w:tcW w:w="1556" w:type="dxa"/>
          </w:tcPr>
          <w:p w14:paraId="282FF8F3" w14:textId="77777777" w:rsidR="00986435" w:rsidRPr="006A16B8"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highlight w:val="yellow"/>
              </w:rPr>
            </w:pPr>
            <w:r w:rsidRPr="00202C25">
              <w:rPr>
                <w:rFonts w:asciiTheme="minorHAnsi" w:eastAsia="Times New Roman" w:hAnsiTheme="minorHAnsi" w:cstheme="minorHAnsi"/>
                <w:sz w:val="18"/>
                <w:szCs w:val="18"/>
              </w:rPr>
              <w:t>Elect Toshikazu Fukuyama</w:t>
            </w:r>
          </w:p>
        </w:tc>
        <w:tc>
          <w:tcPr>
            <w:tcW w:w="1557" w:type="dxa"/>
          </w:tcPr>
          <w:p w14:paraId="536E5C6A" w14:textId="77777777" w:rsidR="00986435" w:rsidRPr="00202C25" w:rsidRDefault="00986435" w:rsidP="00FE4AF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Elect Edward G. Galante</w:t>
            </w:r>
          </w:p>
        </w:tc>
      </w:tr>
      <w:tr w:rsidR="00986435" w:rsidRPr="000D35FD" w14:paraId="0E0DB17D" w14:textId="77777777" w:rsidTr="00FE4AF4">
        <w:trPr>
          <w:trHeight w:val="222"/>
        </w:trPr>
        <w:tc>
          <w:tcPr>
            <w:cnfStyle w:val="001000000000" w:firstRow="0" w:lastRow="0" w:firstColumn="1" w:lastColumn="0" w:oddVBand="0" w:evenVBand="0" w:oddHBand="0" w:evenHBand="0" w:firstRowFirstColumn="0" w:firstRowLastColumn="0" w:lastRowFirstColumn="0" w:lastRowLastColumn="0"/>
            <w:tcW w:w="1261" w:type="dxa"/>
          </w:tcPr>
          <w:p w14:paraId="5AF8ADFD" w14:textId="77777777" w:rsidR="00986435" w:rsidRPr="0066053E" w:rsidRDefault="00986435" w:rsidP="00FE4AF4">
            <w:pPr>
              <w:rPr>
                <w:sz w:val="18"/>
                <w:szCs w:val="18"/>
              </w:rPr>
            </w:pPr>
            <w:r>
              <w:rPr>
                <w:rFonts w:asciiTheme="minorHAnsi" w:eastAsia="Times New Roman" w:hAnsiTheme="minorHAnsi" w:cstheme="minorHAnsi"/>
                <w:sz w:val="18"/>
                <w:szCs w:val="18"/>
              </w:rPr>
              <w:t>Impax</w:t>
            </w:r>
            <w:r w:rsidRPr="0066053E">
              <w:rPr>
                <w:rFonts w:asciiTheme="minorHAnsi" w:eastAsia="Times New Roman" w:hAnsiTheme="minorHAnsi" w:cstheme="minorHAnsi"/>
                <w:sz w:val="18"/>
                <w:szCs w:val="18"/>
              </w:rPr>
              <w:t>’s vote</w:t>
            </w:r>
          </w:p>
        </w:tc>
        <w:tc>
          <w:tcPr>
            <w:tcW w:w="1556" w:type="dxa"/>
          </w:tcPr>
          <w:p w14:paraId="1137B900"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Against</w:t>
            </w:r>
          </w:p>
        </w:tc>
        <w:tc>
          <w:tcPr>
            <w:tcW w:w="1556" w:type="dxa"/>
          </w:tcPr>
          <w:p w14:paraId="21C0F2AB"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202C25">
              <w:rPr>
                <w:rFonts w:asciiTheme="minorHAnsi" w:eastAsia="Times New Roman" w:hAnsiTheme="minorHAnsi" w:cstheme="minorHAnsi"/>
                <w:sz w:val="18"/>
                <w:szCs w:val="18"/>
              </w:rPr>
              <w:t>Against</w:t>
            </w:r>
          </w:p>
        </w:tc>
        <w:tc>
          <w:tcPr>
            <w:tcW w:w="1557" w:type="dxa"/>
          </w:tcPr>
          <w:p w14:paraId="022A5068" w14:textId="77777777" w:rsidR="00986435" w:rsidRPr="00202C25"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202C25">
              <w:rPr>
                <w:rFonts w:asciiTheme="minorHAnsi" w:eastAsia="Times New Roman" w:hAnsiTheme="minorHAnsi" w:cstheme="minorHAnsi"/>
                <w:sz w:val="18"/>
                <w:szCs w:val="18"/>
              </w:rPr>
              <w:t>Against</w:t>
            </w:r>
          </w:p>
        </w:tc>
        <w:tc>
          <w:tcPr>
            <w:tcW w:w="1556" w:type="dxa"/>
          </w:tcPr>
          <w:p w14:paraId="2C5B67CB"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202C25">
              <w:rPr>
                <w:rFonts w:asciiTheme="minorHAnsi" w:eastAsia="Times New Roman" w:hAnsiTheme="minorHAnsi" w:cstheme="minorHAnsi"/>
                <w:sz w:val="18"/>
                <w:szCs w:val="18"/>
              </w:rPr>
              <w:t>Against</w:t>
            </w:r>
          </w:p>
        </w:tc>
        <w:tc>
          <w:tcPr>
            <w:tcW w:w="1557" w:type="dxa"/>
          </w:tcPr>
          <w:p w14:paraId="49A9B190" w14:textId="77777777" w:rsidR="00986435" w:rsidRPr="006A16B8" w:rsidRDefault="00986435" w:rsidP="00FE4AF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highlight w:val="yellow"/>
              </w:rPr>
            </w:pPr>
            <w:r w:rsidRPr="00202C25">
              <w:rPr>
                <w:rFonts w:asciiTheme="minorHAnsi" w:eastAsia="Times New Roman" w:hAnsiTheme="minorHAnsi" w:cstheme="minorHAnsi"/>
                <w:sz w:val="18"/>
                <w:szCs w:val="18"/>
              </w:rPr>
              <w:t>Against</w:t>
            </w:r>
          </w:p>
        </w:tc>
      </w:tr>
      <w:tr w:rsidR="00E36C8B" w:rsidRPr="000D35FD" w14:paraId="6746BDC4" w14:textId="77777777" w:rsidTr="00FE4AF4">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61" w:type="dxa"/>
          </w:tcPr>
          <w:p w14:paraId="7730D958" w14:textId="573F1384" w:rsidR="00E36C8B" w:rsidRDefault="00E36C8B" w:rsidP="00E36C8B">
            <w:pPr>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Rationale</w:t>
            </w:r>
          </w:p>
        </w:tc>
        <w:tc>
          <w:tcPr>
            <w:tcW w:w="1556" w:type="dxa"/>
          </w:tcPr>
          <w:p w14:paraId="280EFA3C" w14:textId="275D1624" w:rsidR="00E36C8B" w:rsidRPr="00202C25" w:rsidRDefault="00123DD9" w:rsidP="00E36C8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123DD9">
              <w:rPr>
                <w:rFonts w:asciiTheme="minorHAnsi" w:eastAsia="Times New Roman" w:hAnsiTheme="minorHAnsi" w:cstheme="minorHAnsi"/>
                <w:sz w:val="18"/>
                <w:szCs w:val="18"/>
              </w:rPr>
              <w:t>Company had very significant votes against management compensation in 2021. The company has since made some improvements to comp structures, but high, new discretionary management payments took place, as well as LTI vesting below median and the LTI still consisting of multiple short performance periods</w:t>
            </w:r>
            <w:r w:rsidR="00376EB5">
              <w:rPr>
                <w:rFonts w:asciiTheme="minorHAnsi" w:eastAsia="Times New Roman" w:hAnsiTheme="minorHAnsi" w:cstheme="minorHAnsi"/>
                <w:sz w:val="18"/>
                <w:szCs w:val="18"/>
              </w:rPr>
              <w:t>.</w:t>
            </w:r>
          </w:p>
        </w:tc>
        <w:tc>
          <w:tcPr>
            <w:tcW w:w="1556" w:type="dxa"/>
          </w:tcPr>
          <w:p w14:paraId="61A28D9C" w14:textId="2931B30F" w:rsidR="00E36C8B" w:rsidRPr="00202C25" w:rsidRDefault="0002144B" w:rsidP="00E36C8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02144B">
              <w:rPr>
                <w:rFonts w:asciiTheme="minorHAnsi" w:eastAsia="Times New Roman" w:hAnsiTheme="minorHAnsi" w:cstheme="minorHAnsi"/>
                <w:sz w:val="18"/>
                <w:szCs w:val="18"/>
              </w:rPr>
              <w:t>Relative industry pay and performance disconnect remains and internal pay inequity. Weak STI target disclosures.</w:t>
            </w:r>
          </w:p>
        </w:tc>
        <w:tc>
          <w:tcPr>
            <w:tcW w:w="1557" w:type="dxa"/>
          </w:tcPr>
          <w:p w14:paraId="341F9441" w14:textId="3AD11585" w:rsidR="00E36C8B" w:rsidRPr="00202C25" w:rsidRDefault="0002144B" w:rsidP="00E36C8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02144B">
              <w:rPr>
                <w:rFonts w:asciiTheme="minorHAnsi" w:eastAsia="Times New Roman" w:hAnsiTheme="minorHAnsi" w:cstheme="minorHAnsi"/>
                <w:sz w:val="18"/>
                <w:szCs w:val="18"/>
              </w:rPr>
              <w:t>Overboarded: Director is a CEO and serves on two or more public boards.</w:t>
            </w:r>
          </w:p>
        </w:tc>
        <w:tc>
          <w:tcPr>
            <w:tcW w:w="1556" w:type="dxa"/>
          </w:tcPr>
          <w:p w14:paraId="3A8761BF" w14:textId="35CE9213" w:rsidR="00E36C8B" w:rsidRPr="00202C25" w:rsidRDefault="00426536" w:rsidP="00E36C8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426536">
              <w:rPr>
                <w:rFonts w:asciiTheme="minorHAnsi" w:eastAsia="Times New Roman" w:hAnsiTheme="minorHAnsi" w:cstheme="minorHAnsi"/>
                <w:sz w:val="18"/>
                <w:szCs w:val="18"/>
              </w:rPr>
              <w:t>The Board of Statutory Auditors is not majority independent.</w:t>
            </w:r>
          </w:p>
        </w:tc>
        <w:tc>
          <w:tcPr>
            <w:tcW w:w="1557" w:type="dxa"/>
          </w:tcPr>
          <w:p w14:paraId="76BDB7F2" w14:textId="3EB10F27" w:rsidR="00E36C8B" w:rsidRPr="00202C25" w:rsidRDefault="00E36C8B" w:rsidP="00E36C8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AC7684">
              <w:rPr>
                <w:rFonts w:asciiTheme="minorHAnsi" w:eastAsia="Times New Roman" w:hAnsiTheme="minorHAnsi" w:cstheme="minorHAnsi"/>
                <w:sz w:val="18"/>
                <w:szCs w:val="18"/>
              </w:rPr>
              <w:t>Vote against nominating or governance committee members when there are less than three women on the board of directors, unless more than 30% of the directors are women.</w:t>
            </w:r>
          </w:p>
        </w:tc>
      </w:tr>
    </w:tbl>
    <w:p w14:paraId="3D4A1837" w14:textId="77777777" w:rsidR="00A379DA" w:rsidRDefault="00A379DA" w:rsidP="00986435">
      <w:pPr>
        <w:pStyle w:val="CEBAppPrimaryHeading"/>
        <w:spacing w:before="60"/>
        <w:rPr>
          <w:rFonts w:cs="Arial"/>
          <w:b/>
          <w:sz w:val="20"/>
          <w:szCs w:val="20"/>
          <w:lang w:val="en-GB"/>
        </w:rPr>
      </w:pPr>
    </w:p>
    <w:p w14:paraId="4258F135" w14:textId="0A88CDC1" w:rsidR="00986435" w:rsidRPr="006F2EE6" w:rsidRDefault="00986435" w:rsidP="00986435">
      <w:pPr>
        <w:pStyle w:val="CEBAppPrimaryHeading"/>
        <w:spacing w:before="60"/>
        <w:rPr>
          <w:rFonts w:cs="Arial"/>
          <w:b/>
          <w:sz w:val="20"/>
          <w:szCs w:val="20"/>
          <w:lang w:val="en-GB"/>
        </w:rPr>
      </w:pPr>
      <w:r w:rsidRPr="006F2EE6">
        <w:rPr>
          <w:rFonts w:cs="Arial"/>
          <w:b/>
          <w:sz w:val="20"/>
          <w:szCs w:val="20"/>
          <w:lang w:val="en-GB"/>
        </w:rPr>
        <w:t>AQR Diversified Risk Premia</w:t>
      </w:r>
    </w:p>
    <w:tbl>
      <w:tblPr>
        <w:tblW w:w="9918" w:type="dxa"/>
        <w:tblCellMar>
          <w:left w:w="0" w:type="dxa"/>
          <w:right w:w="0" w:type="dxa"/>
        </w:tblCellMar>
        <w:tblLook w:val="04A0" w:firstRow="1" w:lastRow="0" w:firstColumn="1" w:lastColumn="0" w:noHBand="0" w:noVBand="1"/>
      </w:tblPr>
      <w:tblGrid>
        <w:gridCol w:w="4957"/>
        <w:gridCol w:w="4961"/>
      </w:tblGrid>
      <w:tr w:rsidR="00986435" w:rsidRPr="00CC605D" w14:paraId="7D082B20" w14:textId="77777777" w:rsidTr="00FE4AF4">
        <w:trPr>
          <w:trHeight w:val="272"/>
        </w:trPr>
        <w:tc>
          <w:tcPr>
            <w:tcW w:w="4957" w:type="dxa"/>
            <w:tcBorders>
              <w:top w:val="single" w:sz="4" w:space="0" w:color="FFFFFF"/>
              <w:left w:val="single" w:sz="4" w:space="0" w:color="FFFFFF"/>
              <w:bottom w:val="single" w:sz="4" w:space="0" w:color="D3D7DA"/>
              <w:right w:val="single" w:sz="4" w:space="0" w:color="FFFFFF"/>
            </w:tcBorders>
            <w:shd w:val="clear" w:color="auto" w:fill="002060"/>
            <w:tcMar>
              <w:top w:w="57" w:type="dxa"/>
              <w:left w:w="113" w:type="dxa"/>
              <w:bottom w:w="57" w:type="dxa"/>
              <w:right w:w="113" w:type="dxa"/>
            </w:tcMar>
            <w:hideMark/>
          </w:tcPr>
          <w:p w14:paraId="692A43EF" w14:textId="77777777" w:rsidR="00986435" w:rsidRPr="006F2EE6" w:rsidRDefault="00986435" w:rsidP="00FE4AF4">
            <w:pPr>
              <w:rPr>
                <w:rFonts w:ascii="Arial" w:eastAsia="Times New Roman" w:hAnsi="Arial" w:cs="Arial"/>
                <w:color w:val="FFFFFF"/>
                <w:sz w:val="18"/>
                <w:szCs w:val="18"/>
                <w:lang w:eastAsia="en-GB"/>
              </w:rPr>
            </w:pPr>
            <w:r w:rsidRPr="006F2EE6">
              <w:rPr>
                <w:rFonts w:ascii="Arial" w:eastAsia="Times New Roman" w:hAnsi="Arial" w:cs="Arial"/>
                <w:b/>
                <w:color w:val="FFFFFF"/>
                <w:sz w:val="18"/>
                <w:szCs w:val="18"/>
                <w:lang w:eastAsia="en-GB"/>
              </w:rPr>
              <w:t>Key Voting Statistics (Jan 202</w:t>
            </w:r>
            <w:r>
              <w:rPr>
                <w:rFonts w:ascii="Arial" w:eastAsia="Times New Roman" w:hAnsi="Arial" w:cs="Arial"/>
                <w:b/>
                <w:color w:val="FFFFFF"/>
                <w:sz w:val="18"/>
                <w:szCs w:val="18"/>
                <w:lang w:eastAsia="en-GB"/>
              </w:rPr>
              <w:t>1</w:t>
            </w:r>
            <w:r w:rsidRPr="006F2EE6">
              <w:rPr>
                <w:rFonts w:ascii="Arial" w:eastAsia="Times New Roman" w:hAnsi="Arial" w:cs="Arial"/>
                <w:b/>
                <w:color w:val="FFFFFF"/>
                <w:sz w:val="18"/>
                <w:szCs w:val="18"/>
                <w:lang w:eastAsia="en-GB"/>
              </w:rPr>
              <w:t xml:space="preserve"> – Dec 202</w:t>
            </w:r>
            <w:r>
              <w:rPr>
                <w:rFonts w:ascii="Arial" w:eastAsia="Times New Roman" w:hAnsi="Arial" w:cs="Arial"/>
                <w:b/>
                <w:color w:val="FFFFFF"/>
                <w:sz w:val="18"/>
                <w:szCs w:val="18"/>
                <w:lang w:eastAsia="en-GB"/>
              </w:rPr>
              <w:t>1</w:t>
            </w:r>
            <w:r w:rsidRPr="006F2EE6">
              <w:rPr>
                <w:rFonts w:ascii="Arial" w:eastAsia="Times New Roman" w:hAnsi="Arial" w:cs="Arial"/>
                <w:b/>
                <w:color w:val="FFFFFF"/>
                <w:sz w:val="18"/>
                <w:szCs w:val="18"/>
                <w:lang w:eastAsia="en-GB"/>
              </w:rPr>
              <w:t>)</w:t>
            </w:r>
          </w:p>
        </w:tc>
        <w:tc>
          <w:tcPr>
            <w:tcW w:w="4961" w:type="dxa"/>
            <w:tcBorders>
              <w:top w:val="single" w:sz="4" w:space="0" w:color="FFFFFF"/>
              <w:left w:val="single" w:sz="4" w:space="0" w:color="FFFFFF"/>
              <w:bottom w:val="single" w:sz="4" w:space="0" w:color="D3D7DA"/>
              <w:right w:val="single" w:sz="4" w:space="0" w:color="FFFFFF"/>
            </w:tcBorders>
            <w:shd w:val="clear" w:color="auto" w:fill="002060"/>
            <w:tcMar>
              <w:top w:w="57" w:type="dxa"/>
              <w:left w:w="113" w:type="dxa"/>
              <w:bottom w:w="57" w:type="dxa"/>
              <w:right w:w="113" w:type="dxa"/>
            </w:tcMar>
            <w:hideMark/>
          </w:tcPr>
          <w:p w14:paraId="157D252F" w14:textId="77777777" w:rsidR="00986435" w:rsidRPr="006F2EE6" w:rsidRDefault="00986435" w:rsidP="00FE4AF4">
            <w:pPr>
              <w:rPr>
                <w:rFonts w:ascii="Arial" w:eastAsia="Times New Roman" w:hAnsi="Arial" w:cs="Arial"/>
                <w:color w:val="FFFFFF"/>
                <w:sz w:val="18"/>
                <w:szCs w:val="18"/>
                <w:lang w:eastAsia="en-GB"/>
              </w:rPr>
            </w:pPr>
            <w:r w:rsidRPr="006F2EE6">
              <w:rPr>
                <w:rFonts w:ascii="Arial" w:eastAsia="Times New Roman" w:hAnsi="Arial" w:cs="Arial"/>
                <w:b/>
                <w:color w:val="FFFFFF"/>
                <w:sz w:val="18"/>
                <w:szCs w:val="18"/>
                <w:lang w:eastAsia="en-GB"/>
              </w:rPr>
              <w:t>Number</w:t>
            </w:r>
          </w:p>
        </w:tc>
      </w:tr>
      <w:tr w:rsidR="00986435" w:rsidRPr="00CC605D" w:rsidDel="006054E0" w14:paraId="371FB543" w14:textId="77777777" w:rsidTr="00FE4AF4">
        <w:trPr>
          <w:trHeight w:val="272"/>
        </w:trPr>
        <w:tc>
          <w:tcPr>
            <w:tcW w:w="4957"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3D6B6D86"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holdings at period end</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5D55941B" w14:textId="77777777" w:rsidR="00986435" w:rsidRPr="00202C25" w:rsidRDefault="00986435" w:rsidP="00FE4AF4">
            <w:pPr>
              <w:rPr>
                <w:rFonts w:ascii="Arial" w:eastAsia="Times New Roman" w:hAnsi="Arial" w:cs="Arial"/>
                <w:sz w:val="18"/>
                <w:szCs w:val="18"/>
                <w:lang w:eastAsia="en-GB"/>
              </w:rPr>
            </w:pPr>
            <w:r w:rsidRPr="00202C25">
              <w:rPr>
                <w:rFonts w:ascii="Arial" w:eastAsia="Times New Roman" w:hAnsi="Arial" w:cs="Arial"/>
                <w:sz w:val="18"/>
                <w:szCs w:val="18"/>
                <w:lang w:eastAsia="en-GB"/>
              </w:rPr>
              <w:t>1953</w:t>
            </w:r>
          </w:p>
        </w:tc>
      </w:tr>
      <w:tr w:rsidR="00986435" w:rsidRPr="00CC605D" w:rsidDel="006054E0" w14:paraId="415BCB45" w14:textId="77777777" w:rsidTr="00FE4AF4">
        <w:trPr>
          <w:trHeight w:val="272"/>
        </w:trPr>
        <w:tc>
          <w:tcPr>
            <w:tcW w:w="4957"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5679A2EE" w14:textId="77777777" w:rsidR="00986435" w:rsidRPr="006F2EE6" w:rsidDel="00DE1AE9"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Value of Trustee’s Assets</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136C6B44" w14:textId="77777777" w:rsidR="00986435" w:rsidRPr="00202C25" w:rsidDel="006054E0" w:rsidRDefault="00986435" w:rsidP="00FE4AF4">
            <w:pPr>
              <w:rPr>
                <w:rFonts w:ascii="Arial" w:eastAsia="Times New Roman" w:hAnsi="Arial" w:cs="Arial"/>
                <w:sz w:val="18"/>
                <w:szCs w:val="18"/>
                <w:lang w:eastAsia="en-GB"/>
              </w:rPr>
            </w:pPr>
            <w:r w:rsidRPr="00202C25">
              <w:rPr>
                <w:rFonts w:ascii="Arial" w:eastAsia="Times New Roman" w:hAnsi="Arial" w:cs="Arial"/>
                <w:sz w:val="18"/>
                <w:szCs w:val="18"/>
                <w:lang w:eastAsia="en-GB"/>
              </w:rPr>
              <w:t>£11.5m</w:t>
            </w:r>
          </w:p>
        </w:tc>
      </w:tr>
      <w:tr w:rsidR="00986435" w:rsidRPr="00CC605D" w14:paraId="388FD179" w14:textId="77777777" w:rsidTr="00FE4AF4">
        <w:trPr>
          <w:trHeight w:val="272"/>
        </w:trPr>
        <w:tc>
          <w:tcPr>
            <w:tcW w:w="4957"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7991FF6A"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meetings eligible to vote during the period</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1006E2E"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734</w:t>
            </w:r>
          </w:p>
        </w:tc>
      </w:tr>
      <w:tr w:rsidR="00986435" w:rsidRPr="00CC605D" w14:paraId="09984285"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0063E50E"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resolutions eligible to vote during the period</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1356F240"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8,802</w:t>
            </w:r>
          </w:p>
        </w:tc>
      </w:tr>
      <w:tr w:rsidR="00986435" w:rsidRPr="00CC605D" w14:paraId="14BD0919" w14:textId="77777777" w:rsidTr="00FE4AF4">
        <w:trPr>
          <w:trHeight w:val="25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313C8BD1"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voted</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ACC8FFE"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99.2%</w:t>
            </w:r>
          </w:p>
        </w:tc>
      </w:tr>
      <w:tr w:rsidR="00986435" w:rsidRPr="00CC605D" w14:paraId="520BEFF9"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3312C772"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 of resolutions voted with management </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27A1F34"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91.6%</w:t>
            </w:r>
          </w:p>
        </w:tc>
      </w:tr>
      <w:tr w:rsidR="00986435" w:rsidRPr="00CC605D" w14:paraId="59A4BA72"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2F01F475"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 of resolutions voted against management </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90BED8A"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8.4%</w:t>
            </w:r>
          </w:p>
        </w:tc>
      </w:tr>
      <w:tr w:rsidR="00986435" w:rsidRPr="00CC605D" w14:paraId="5D02D74B"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1F91963C"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 of resolutions abstained </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2F3D4813"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0.0%</w:t>
            </w:r>
          </w:p>
        </w:tc>
      </w:tr>
      <w:tr w:rsidR="00986435" w:rsidRPr="00CC605D" w14:paraId="7D0387FB"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510A42A5" w14:textId="77777777" w:rsidR="00986435" w:rsidRPr="006F2EE6" w:rsidDel="00B11B74"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 of meetings with at least one vote against management </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11AB8B16"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34%</w:t>
            </w:r>
          </w:p>
        </w:tc>
      </w:tr>
      <w:tr w:rsidR="00986435" w:rsidRPr="00CC605D" w14:paraId="01D31D92"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0B84A2D8" w14:textId="77777777" w:rsidR="00986435" w:rsidRPr="006F2EE6" w:rsidDel="00B11B74"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where manager voted contrary to recommendation of proxy adviser</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A67F947" w14:textId="55EC691B"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1.7%</w:t>
            </w:r>
          </w:p>
        </w:tc>
      </w:tr>
      <w:tr w:rsidR="00986435" w:rsidRPr="00CC605D" w14:paraId="2BE019B0" w14:textId="77777777" w:rsidTr="00FE4AF4">
        <w:trPr>
          <w:trHeight w:val="272"/>
        </w:trPr>
        <w:tc>
          <w:tcPr>
            <w:tcW w:w="4957"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1B22186C" w14:textId="77777777" w:rsidR="00986435" w:rsidRPr="006F2EE6" w:rsidDel="00B11B74"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xml:space="preserve">Any use of proxy voting services during the period </w:t>
            </w:r>
          </w:p>
        </w:tc>
        <w:tc>
          <w:tcPr>
            <w:tcW w:w="4961"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060FAB6D" w14:textId="77777777" w:rsidR="00986435" w:rsidRPr="00202C25" w:rsidRDefault="00986435" w:rsidP="00FE4AF4">
            <w:pPr>
              <w:spacing w:line="256" w:lineRule="auto"/>
              <w:rPr>
                <w:rFonts w:ascii="Arial" w:eastAsia="Times New Roman" w:hAnsi="Arial" w:cs="Arial"/>
                <w:sz w:val="18"/>
                <w:szCs w:val="18"/>
                <w:lang w:eastAsia="en-GB"/>
              </w:rPr>
            </w:pPr>
            <w:r w:rsidRPr="00202C25">
              <w:rPr>
                <w:rFonts w:ascii="Arial" w:eastAsia="Times New Roman" w:hAnsi="Arial" w:cs="Arial"/>
                <w:sz w:val="18"/>
                <w:szCs w:val="18"/>
                <w:lang w:eastAsia="en-GB"/>
              </w:rPr>
              <w:t>AQR utilises Institutional Shareholder Services’ Sustainable proxy voting policy for all of their commingled funds and for their default vote-handling program, but they also leverage internal proprietary research on proxy issues related to significant corporate actions and in making individual voting decisions. AQR has also retained Glass Lewis for proxy voting research and recommendations.</w:t>
            </w:r>
          </w:p>
          <w:p w14:paraId="223023F4" w14:textId="77777777" w:rsidR="00986435" w:rsidRPr="00875B36" w:rsidRDefault="00986435" w:rsidP="00FE4AF4">
            <w:pPr>
              <w:rPr>
                <w:rFonts w:ascii="Arial" w:eastAsia="Times New Roman" w:hAnsi="Arial" w:cs="Arial"/>
                <w:sz w:val="18"/>
                <w:szCs w:val="18"/>
                <w:highlight w:val="yellow"/>
                <w:lang w:eastAsia="en-GB"/>
              </w:rPr>
            </w:pPr>
            <w:r w:rsidRPr="00875B36">
              <w:rPr>
                <w:rFonts w:ascii="Arial" w:eastAsia="Times New Roman" w:hAnsi="Arial" w:cs="Arial"/>
                <w:sz w:val="18"/>
                <w:szCs w:val="18"/>
                <w:highlight w:val="yellow"/>
                <w:lang w:eastAsia="en-GB"/>
              </w:rPr>
              <w:t xml:space="preserve"> </w:t>
            </w:r>
          </w:p>
        </w:tc>
      </w:tr>
    </w:tbl>
    <w:p w14:paraId="4F464ACE" w14:textId="77777777" w:rsidR="00986435" w:rsidRDefault="00986435" w:rsidP="00986435">
      <w:pPr>
        <w:pStyle w:val="ListParagraph"/>
        <w:numPr>
          <w:ilvl w:val="0"/>
          <w:numId w:val="9"/>
        </w:numPr>
        <w:spacing w:after="160" w:line="256" w:lineRule="auto"/>
        <w:ind w:left="567" w:hanging="425"/>
        <w:contextualSpacing/>
        <w:jc w:val="both"/>
        <w:rPr>
          <w:rFonts w:ascii="Arial" w:hAnsi="Arial" w:cs="Arial"/>
          <w:b/>
          <w:sz w:val="16"/>
          <w:szCs w:val="16"/>
          <w:lang w:val="en-US"/>
        </w:rPr>
      </w:pPr>
      <w:r>
        <w:rPr>
          <w:rFonts w:ascii="Arial" w:hAnsi="Arial" w:cs="Arial"/>
          <w:i/>
          <w:iCs/>
          <w:sz w:val="16"/>
          <w:szCs w:val="16"/>
          <w:lang w:val="en-US"/>
        </w:rPr>
        <w:t xml:space="preserve">Please note – AQR does not currently differentiate between significant or non-significant votes. While AQR does not categorize votes (and generally vote all proxies), AQR’s portfolio companies may request reactive engagement on certain votes based on their assessment of significance. AQR are working to implement a policy for defining significant votes and expect to be able to report on this in the future. </w:t>
      </w:r>
    </w:p>
    <w:p w14:paraId="511665EA" w14:textId="77777777" w:rsidR="00986435" w:rsidRPr="006F2EE6" w:rsidRDefault="00986435" w:rsidP="00986435">
      <w:pPr>
        <w:pStyle w:val="CEBAppPrimaryHeading"/>
        <w:spacing w:before="60"/>
        <w:rPr>
          <w:rFonts w:cs="Arial"/>
          <w:b/>
          <w:sz w:val="20"/>
          <w:szCs w:val="20"/>
          <w:lang w:val="en-GB"/>
        </w:rPr>
      </w:pPr>
      <w:bookmarkStart w:id="0" w:name="_Hlk66346634"/>
      <w:r w:rsidRPr="006F2EE6">
        <w:rPr>
          <w:rFonts w:cs="Arial"/>
          <w:b/>
          <w:sz w:val="20"/>
          <w:szCs w:val="20"/>
          <w:lang w:val="en-GB"/>
        </w:rPr>
        <w:lastRenderedPageBreak/>
        <w:t xml:space="preserve">Bridgewater Optimal II </w:t>
      </w:r>
    </w:p>
    <w:tbl>
      <w:tblPr>
        <w:tblW w:w="10060" w:type="dxa"/>
        <w:tblCellMar>
          <w:left w:w="0" w:type="dxa"/>
          <w:right w:w="0" w:type="dxa"/>
        </w:tblCellMar>
        <w:tblLook w:val="04A0" w:firstRow="1" w:lastRow="0" w:firstColumn="1" w:lastColumn="0" w:noHBand="0" w:noVBand="1"/>
      </w:tblPr>
      <w:tblGrid>
        <w:gridCol w:w="4946"/>
        <w:gridCol w:w="5114"/>
      </w:tblGrid>
      <w:tr w:rsidR="00986435" w:rsidRPr="00BB0ED1" w14:paraId="78632D31" w14:textId="77777777" w:rsidTr="00FE4AF4">
        <w:tc>
          <w:tcPr>
            <w:tcW w:w="4946" w:type="dxa"/>
            <w:tcBorders>
              <w:top w:val="single" w:sz="4" w:space="0" w:color="FFFFFF"/>
              <w:left w:val="single" w:sz="4" w:space="0" w:color="FFFFFF"/>
              <w:bottom w:val="single" w:sz="4" w:space="0" w:color="D3D7DA"/>
              <w:right w:val="single" w:sz="4" w:space="0" w:color="FFFFFF"/>
            </w:tcBorders>
            <w:shd w:val="clear" w:color="auto" w:fill="002060"/>
            <w:tcMar>
              <w:top w:w="57" w:type="dxa"/>
              <w:left w:w="113" w:type="dxa"/>
              <w:bottom w:w="57" w:type="dxa"/>
              <w:right w:w="113" w:type="dxa"/>
            </w:tcMar>
            <w:hideMark/>
          </w:tcPr>
          <w:p w14:paraId="6350A2BD" w14:textId="77777777" w:rsidR="00986435" w:rsidRPr="006F2EE6" w:rsidRDefault="00986435" w:rsidP="00FE4AF4">
            <w:pPr>
              <w:rPr>
                <w:rFonts w:ascii="Arial" w:eastAsia="Times New Roman" w:hAnsi="Arial" w:cs="Arial"/>
                <w:color w:val="FFFFFF"/>
                <w:sz w:val="18"/>
                <w:szCs w:val="18"/>
                <w:lang w:eastAsia="en-GB"/>
              </w:rPr>
            </w:pPr>
            <w:r w:rsidRPr="006F2EE6">
              <w:rPr>
                <w:rFonts w:ascii="Arial" w:eastAsia="Times New Roman" w:hAnsi="Arial" w:cs="Arial"/>
                <w:b/>
                <w:color w:val="FFFFFF"/>
                <w:sz w:val="18"/>
                <w:szCs w:val="18"/>
                <w:lang w:eastAsia="en-GB"/>
              </w:rPr>
              <w:t>Key Voting Statistics (Jan 202</w:t>
            </w:r>
            <w:r>
              <w:rPr>
                <w:rFonts w:ascii="Arial" w:eastAsia="Times New Roman" w:hAnsi="Arial" w:cs="Arial"/>
                <w:b/>
                <w:color w:val="FFFFFF"/>
                <w:sz w:val="18"/>
                <w:szCs w:val="18"/>
                <w:lang w:eastAsia="en-GB"/>
              </w:rPr>
              <w:t>1</w:t>
            </w:r>
            <w:r w:rsidRPr="006F2EE6">
              <w:rPr>
                <w:rFonts w:ascii="Arial" w:eastAsia="Times New Roman" w:hAnsi="Arial" w:cs="Arial"/>
                <w:b/>
                <w:color w:val="FFFFFF"/>
                <w:sz w:val="18"/>
                <w:szCs w:val="18"/>
                <w:lang w:eastAsia="en-GB"/>
              </w:rPr>
              <w:t xml:space="preserve"> – Dec 202</w:t>
            </w:r>
            <w:r>
              <w:rPr>
                <w:rFonts w:ascii="Arial" w:eastAsia="Times New Roman" w:hAnsi="Arial" w:cs="Arial"/>
                <w:b/>
                <w:color w:val="FFFFFF"/>
                <w:sz w:val="18"/>
                <w:szCs w:val="18"/>
                <w:lang w:eastAsia="en-GB"/>
              </w:rPr>
              <w:t>1</w:t>
            </w:r>
            <w:r w:rsidRPr="006F2EE6">
              <w:rPr>
                <w:rFonts w:ascii="Arial" w:eastAsia="Times New Roman" w:hAnsi="Arial" w:cs="Arial"/>
                <w:b/>
                <w:color w:val="FFFFFF"/>
                <w:sz w:val="18"/>
                <w:szCs w:val="18"/>
                <w:lang w:eastAsia="en-GB"/>
              </w:rPr>
              <w:t>)</w:t>
            </w:r>
          </w:p>
        </w:tc>
        <w:tc>
          <w:tcPr>
            <w:tcW w:w="5114" w:type="dxa"/>
            <w:tcBorders>
              <w:top w:val="single" w:sz="4" w:space="0" w:color="FFFFFF"/>
              <w:left w:val="single" w:sz="4" w:space="0" w:color="FFFFFF"/>
              <w:bottom w:val="single" w:sz="4" w:space="0" w:color="D3D7DA"/>
              <w:right w:val="single" w:sz="4" w:space="0" w:color="FFFFFF"/>
            </w:tcBorders>
            <w:shd w:val="clear" w:color="auto" w:fill="002060"/>
            <w:tcMar>
              <w:top w:w="57" w:type="dxa"/>
              <w:left w:w="113" w:type="dxa"/>
              <w:bottom w:w="57" w:type="dxa"/>
              <w:right w:w="113" w:type="dxa"/>
            </w:tcMar>
            <w:hideMark/>
          </w:tcPr>
          <w:p w14:paraId="2780199C" w14:textId="77777777" w:rsidR="00986435" w:rsidRPr="006F2EE6" w:rsidRDefault="00986435" w:rsidP="00FE4AF4">
            <w:pPr>
              <w:rPr>
                <w:rFonts w:ascii="Arial" w:eastAsia="Times New Roman" w:hAnsi="Arial" w:cs="Arial"/>
                <w:color w:val="FFFFFF"/>
                <w:sz w:val="18"/>
                <w:szCs w:val="18"/>
                <w:lang w:eastAsia="en-GB"/>
              </w:rPr>
            </w:pPr>
            <w:r w:rsidRPr="006F2EE6">
              <w:rPr>
                <w:rFonts w:ascii="Arial" w:eastAsia="Times New Roman" w:hAnsi="Arial" w:cs="Arial"/>
                <w:b/>
                <w:color w:val="FFFFFF"/>
                <w:sz w:val="18"/>
                <w:szCs w:val="18"/>
                <w:lang w:eastAsia="en-GB"/>
              </w:rPr>
              <w:t>Number</w:t>
            </w:r>
          </w:p>
        </w:tc>
      </w:tr>
      <w:tr w:rsidR="00986435" w:rsidRPr="00BB0ED1" w:rsidDel="00ED3ADA" w14:paraId="0CADA44C" w14:textId="77777777" w:rsidTr="00FE4AF4">
        <w:tc>
          <w:tcPr>
            <w:tcW w:w="4946"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0FC9A17F"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holdings at period end</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45453FCE"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947</w:t>
            </w:r>
          </w:p>
        </w:tc>
      </w:tr>
      <w:tr w:rsidR="00986435" w:rsidRPr="00BB0ED1" w:rsidDel="00ED3ADA" w14:paraId="1E0F754D" w14:textId="77777777" w:rsidTr="00FE4AF4">
        <w:tc>
          <w:tcPr>
            <w:tcW w:w="4946"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7C849EA5"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Value of Trustee’s Assets</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06C71223" w14:textId="77777777" w:rsidR="00986435" w:rsidRPr="00875B36" w:rsidDel="00ED3ADA"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£107.1m</w:t>
            </w:r>
          </w:p>
        </w:tc>
      </w:tr>
      <w:tr w:rsidR="00986435" w:rsidRPr="00BB0ED1" w14:paraId="7E771DE6" w14:textId="77777777" w:rsidTr="00FE4AF4">
        <w:tc>
          <w:tcPr>
            <w:tcW w:w="4946" w:type="dxa"/>
            <w:tcBorders>
              <w:top w:val="single" w:sz="4" w:space="0" w:color="D3D7DA"/>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5213C15F"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meetings eligible to vote during the period</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5AEE2E67" w14:textId="77777777" w:rsidR="00986435" w:rsidRPr="00202C25" w:rsidRDefault="00986435" w:rsidP="00FE4AF4">
            <w:pPr>
              <w:rPr>
                <w:rFonts w:ascii="Arial" w:eastAsia="Times New Roman" w:hAnsi="Arial" w:cs="Arial"/>
                <w:sz w:val="18"/>
                <w:szCs w:val="18"/>
                <w:lang w:eastAsia="en-GB"/>
              </w:rPr>
            </w:pPr>
            <w:r w:rsidRPr="00202C25">
              <w:rPr>
                <w:rFonts w:ascii="Arial" w:eastAsia="Times New Roman" w:hAnsi="Arial" w:cs="Arial"/>
                <w:sz w:val="18"/>
                <w:szCs w:val="18"/>
                <w:lang w:eastAsia="en-GB"/>
              </w:rPr>
              <w:t>2,051</w:t>
            </w:r>
          </w:p>
        </w:tc>
      </w:tr>
      <w:tr w:rsidR="00986435" w:rsidRPr="00BB0ED1" w14:paraId="0640CAB2"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3AC303C1"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Number of resolutions eligible to vote during the period</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6673DF0C" w14:textId="77777777" w:rsidR="00986435" w:rsidRPr="00202C25" w:rsidRDefault="00986435" w:rsidP="00FE4AF4">
            <w:pPr>
              <w:rPr>
                <w:rFonts w:ascii="Arial" w:eastAsia="Times New Roman" w:hAnsi="Arial" w:cs="Arial"/>
                <w:sz w:val="18"/>
                <w:szCs w:val="18"/>
                <w:lang w:eastAsia="en-GB"/>
              </w:rPr>
            </w:pPr>
            <w:r w:rsidRPr="00202C25">
              <w:rPr>
                <w:rFonts w:ascii="Arial" w:eastAsia="Times New Roman" w:hAnsi="Arial" w:cs="Arial"/>
                <w:sz w:val="18"/>
                <w:szCs w:val="18"/>
                <w:lang w:eastAsia="en-GB"/>
              </w:rPr>
              <w:t>19,438</w:t>
            </w:r>
          </w:p>
        </w:tc>
      </w:tr>
      <w:tr w:rsidR="00986435" w:rsidRPr="00BB0ED1" w14:paraId="14E96C3C"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7EACC163"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voted</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4483F20B"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99.9%</w:t>
            </w:r>
          </w:p>
        </w:tc>
      </w:tr>
      <w:tr w:rsidR="00986435" w:rsidRPr="00BB0ED1" w14:paraId="46578345"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59EA0446"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voted with management</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01B2E067" w14:textId="6989168F"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8</w:t>
            </w:r>
            <w:r w:rsidR="00EA2DEF">
              <w:rPr>
                <w:rFonts w:ascii="Arial" w:eastAsia="Times New Roman" w:hAnsi="Arial" w:cs="Arial"/>
                <w:sz w:val="18"/>
                <w:szCs w:val="18"/>
                <w:lang w:eastAsia="en-GB"/>
              </w:rPr>
              <w:t>7</w:t>
            </w:r>
            <w:r w:rsidRPr="00202C25">
              <w:rPr>
                <w:rFonts w:ascii="Arial" w:eastAsia="Times New Roman" w:hAnsi="Arial" w:cs="Arial"/>
                <w:sz w:val="18"/>
                <w:szCs w:val="18"/>
                <w:lang w:eastAsia="en-GB"/>
              </w:rPr>
              <w:t>.2%</w:t>
            </w:r>
          </w:p>
        </w:tc>
      </w:tr>
      <w:tr w:rsidR="00986435" w:rsidRPr="00BB0ED1" w14:paraId="46D4BB62"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2653BC39"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voted against management</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75688C21"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12.6%</w:t>
            </w:r>
          </w:p>
        </w:tc>
      </w:tr>
      <w:tr w:rsidR="00986435" w:rsidRPr="00BB0ED1" w14:paraId="7BFBE7A9"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hideMark/>
          </w:tcPr>
          <w:p w14:paraId="6A257FEE" w14:textId="77777777" w:rsidR="00986435" w:rsidRPr="006F2EE6"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abstained</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3BA9CBCA"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0.7%</w:t>
            </w:r>
          </w:p>
        </w:tc>
      </w:tr>
      <w:tr w:rsidR="00986435" w:rsidRPr="00BB0ED1" w14:paraId="7C3F9442"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09F33216" w14:textId="77777777" w:rsidR="00986435" w:rsidRPr="006F2EE6" w:rsidDel="00D36B80"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meetings with at least one vote against management</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51D53ADA"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41.8%</w:t>
            </w:r>
          </w:p>
        </w:tc>
      </w:tr>
      <w:tr w:rsidR="00986435" w:rsidRPr="00BB0ED1" w14:paraId="5FD07F25"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2E27AABA" w14:textId="77777777" w:rsidR="00986435" w:rsidRPr="006F2EE6" w:rsidDel="00D36B80"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 of resolutions where manager voted contrary to recommendation of proxy adviser?</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42CD7A10"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0.6%</w:t>
            </w:r>
          </w:p>
        </w:tc>
      </w:tr>
      <w:tr w:rsidR="00986435" w:rsidRPr="00BB0ED1" w14:paraId="590E29C7" w14:textId="77777777" w:rsidTr="00FE4AF4">
        <w:tc>
          <w:tcPr>
            <w:tcW w:w="4946" w:type="dxa"/>
            <w:tcBorders>
              <w:top w:val="single" w:sz="4" w:space="0" w:color="FFFFFF"/>
              <w:left w:val="single" w:sz="4" w:space="0" w:color="D3D7DA"/>
              <w:bottom w:val="single" w:sz="4" w:space="0" w:color="FFFFFF"/>
              <w:right w:val="single" w:sz="4" w:space="0" w:color="D3D7DA"/>
            </w:tcBorders>
            <w:shd w:val="clear" w:color="auto" w:fill="D3D7DA"/>
            <w:tcMar>
              <w:top w:w="57" w:type="dxa"/>
              <w:left w:w="113" w:type="dxa"/>
              <w:bottom w:w="57" w:type="dxa"/>
              <w:right w:w="113" w:type="dxa"/>
            </w:tcMar>
          </w:tcPr>
          <w:p w14:paraId="5CAA8548" w14:textId="77777777" w:rsidR="00986435" w:rsidRPr="006F2EE6" w:rsidDel="00D36B80" w:rsidRDefault="00986435" w:rsidP="00FE4AF4">
            <w:pPr>
              <w:rPr>
                <w:rFonts w:ascii="Arial" w:eastAsia="Times New Roman" w:hAnsi="Arial" w:cs="Arial"/>
                <w:sz w:val="18"/>
                <w:szCs w:val="18"/>
                <w:lang w:eastAsia="en-GB"/>
              </w:rPr>
            </w:pPr>
            <w:r w:rsidRPr="006F2EE6">
              <w:rPr>
                <w:rFonts w:ascii="Arial" w:eastAsia="Times New Roman" w:hAnsi="Arial" w:cs="Arial"/>
                <w:sz w:val="18"/>
                <w:szCs w:val="18"/>
                <w:lang w:eastAsia="en-GB"/>
              </w:rPr>
              <w:t>Any use of proxy voting services during the period?</w:t>
            </w:r>
          </w:p>
        </w:tc>
        <w:tc>
          <w:tcPr>
            <w:tcW w:w="5114" w:type="dxa"/>
            <w:tcBorders>
              <w:top w:val="single" w:sz="4" w:space="0" w:color="D3D7DA"/>
              <w:left w:val="single" w:sz="4" w:space="0" w:color="D3D7DA"/>
              <w:bottom w:val="single" w:sz="4" w:space="0" w:color="D3D7DA"/>
              <w:right w:val="single" w:sz="4" w:space="0" w:color="D3D7DA"/>
            </w:tcBorders>
            <w:shd w:val="clear" w:color="auto" w:fill="auto"/>
            <w:tcMar>
              <w:top w:w="57" w:type="dxa"/>
              <w:left w:w="113" w:type="dxa"/>
              <w:bottom w:w="57" w:type="dxa"/>
              <w:right w:w="113" w:type="dxa"/>
            </w:tcMar>
          </w:tcPr>
          <w:p w14:paraId="14C80901" w14:textId="77777777" w:rsidR="00986435" w:rsidRPr="00875B36" w:rsidRDefault="00986435" w:rsidP="00FE4AF4">
            <w:pPr>
              <w:rPr>
                <w:rFonts w:ascii="Arial" w:eastAsia="Times New Roman" w:hAnsi="Arial" w:cs="Arial"/>
                <w:sz w:val="18"/>
                <w:szCs w:val="18"/>
                <w:highlight w:val="yellow"/>
                <w:lang w:eastAsia="en-GB"/>
              </w:rPr>
            </w:pPr>
            <w:r w:rsidRPr="00202C25">
              <w:rPr>
                <w:rFonts w:ascii="Arial" w:eastAsia="Times New Roman" w:hAnsi="Arial" w:cs="Arial"/>
                <w:sz w:val="18"/>
                <w:szCs w:val="18"/>
                <w:lang w:eastAsia="en-GB"/>
              </w:rPr>
              <w:t>Bridgewater has engaged Glass, Lewis &amp; Co. (“Glass Lewis”) to vote proxies on behalf of their clients. Bridgewater generally subscribes to the proxy voting policy adopted</w:t>
            </w:r>
            <w:r>
              <w:rPr>
                <w:rFonts w:ascii="Arial" w:eastAsia="Times New Roman" w:hAnsi="Arial" w:cs="Arial"/>
                <w:sz w:val="18"/>
                <w:szCs w:val="18"/>
                <w:lang w:eastAsia="en-GB"/>
              </w:rPr>
              <w:t xml:space="preserve"> </w:t>
            </w:r>
            <w:r w:rsidRPr="00202C25">
              <w:rPr>
                <w:rFonts w:ascii="Arial" w:eastAsia="Times New Roman" w:hAnsi="Arial" w:cs="Arial"/>
                <w:sz w:val="18"/>
                <w:szCs w:val="18"/>
                <w:lang w:eastAsia="en-GB"/>
              </w:rPr>
              <w:t>by Glass Lewis but reserves the right to direct Glass Lewis to vote in a manner that is contrary to such policy where appropriate, or as specifically directed by a client.</w:t>
            </w:r>
          </w:p>
        </w:tc>
      </w:tr>
    </w:tbl>
    <w:p w14:paraId="0F659CE6" w14:textId="77777777" w:rsidR="00986435" w:rsidRDefault="00986435" w:rsidP="00986435">
      <w:pPr>
        <w:pStyle w:val="ListParagraph"/>
        <w:numPr>
          <w:ilvl w:val="0"/>
          <w:numId w:val="9"/>
        </w:numPr>
        <w:spacing w:after="160" w:line="256" w:lineRule="auto"/>
        <w:ind w:left="284" w:hanging="284"/>
        <w:contextualSpacing/>
        <w:jc w:val="both"/>
        <w:rPr>
          <w:rFonts w:ascii="Arial" w:hAnsi="Arial" w:cs="Arial"/>
          <w:i/>
          <w:iCs/>
          <w:sz w:val="16"/>
          <w:szCs w:val="16"/>
          <w:lang w:val="en-US"/>
        </w:rPr>
      </w:pPr>
      <w:r>
        <w:rPr>
          <w:rFonts w:ascii="Arial" w:hAnsi="Arial" w:cs="Arial"/>
          <w:i/>
          <w:iCs/>
          <w:sz w:val="16"/>
          <w:szCs w:val="16"/>
          <w:lang w:val="en-US"/>
        </w:rPr>
        <w:t xml:space="preserve">Please note – Bridgewater has not adopted a policy for identifying “significant votes” as their view is that any particular voting matter’s outcome is considered as inconsequential in the context of the overall portfolio. As a global macro investor, any one security is likely to represent a small share of the portfolio and the ownership share in each company is quite small.  </w:t>
      </w:r>
    </w:p>
    <w:bookmarkEnd w:id="0"/>
    <w:p w14:paraId="4840E2B8" w14:textId="77777777" w:rsidR="00986435" w:rsidRDefault="00986435" w:rsidP="00986435"/>
    <w:p w14:paraId="5DDBDD4D" w14:textId="77777777" w:rsidR="004D430E" w:rsidRPr="00097FDC" w:rsidRDefault="004D430E" w:rsidP="00351767">
      <w:pPr>
        <w:pStyle w:val="BodyText"/>
      </w:pPr>
    </w:p>
    <w:sectPr w:rsidR="004D430E" w:rsidRPr="00097FDC" w:rsidSect="00193BF1">
      <w:headerReference w:type="default" r:id="rId11"/>
      <w:footerReference w:type="default" r:id="rId12"/>
      <w:pgSz w:w="11906" w:h="16838" w:code="9"/>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BFAF" w14:textId="77777777" w:rsidR="006D0776" w:rsidRDefault="006D0776" w:rsidP="004722FE">
      <w:pPr>
        <w:pStyle w:val="Base"/>
      </w:pPr>
      <w:r>
        <w:separator/>
      </w:r>
    </w:p>
  </w:endnote>
  <w:endnote w:type="continuationSeparator" w:id="0">
    <w:p w14:paraId="14021C20" w14:textId="77777777" w:rsidR="006D0776" w:rsidRDefault="006D0776" w:rsidP="00CB2B7A">
      <w:r>
        <w:continuationSeparator/>
      </w:r>
    </w:p>
    <w:p w14:paraId="2FFDAE66" w14:textId="77777777" w:rsidR="006D0776" w:rsidRDefault="006D0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419" w14:textId="77777777" w:rsidR="00DE07A8" w:rsidRPr="00DE07A8" w:rsidRDefault="00DE07A8" w:rsidP="00DE07A8">
    <w:pPr>
      <w:pStyle w:val="BodyText"/>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1836" w14:textId="77777777" w:rsidR="006D0776" w:rsidRPr="005318CD" w:rsidRDefault="006D0776" w:rsidP="00CB2B7A">
      <w:pPr>
        <w:rPr>
          <w:rStyle w:val="BaseChar"/>
        </w:rPr>
      </w:pPr>
      <w:r>
        <w:separator/>
      </w:r>
    </w:p>
  </w:footnote>
  <w:footnote w:type="continuationSeparator" w:id="0">
    <w:p w14:paraId="6C9AB0BF" w14:textId="77777777" w:rsidR="006D0776" w:rsidRDefault="006D0776" w:rsidP="00CB2B7A">
      <w:r>
        <w:continuationSeparator/>
      </w:r>
    </w:p>
    <w:p w14:paraId="057B797D" w14:textId="77777777" w:rsidR="006D0776" w:rsidRDefault="006D0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92E" w14:textId="77777777" w:rsidR="00DE07A8" w:rsidRDefault="00DE6D29" w:rsidP="00DE07A8">
    <w:pPr>
      <w:pStyle w:val="BodyText"/>
    </w:pPr>
    <w:r w:rsidRPr="00DE6D29">
      <w:rPr>
        <w:noProof/>
      </w:rPr>
      <mc:AlternateContent>
        <mc:Choice Requires="wps">
          <w:drawing>
            <wp:anchor distT="0" distB="0" distL="114300" distR="114300" simplePos="0" relativeHeight="251661312" behindDoc="0" locked="0" layoutInCell="1" allowOverlap="1" wp14:anchorId="1F545951" wp14:editId="01F333A0">
              <wp:simplePos x="0" y="0"/>
              <wp:positionH relativeFrom="column">
                <wp:posOffset>0</wp:posOffset>
              </wp:positionH>
              <wp:positionV relativeFrom="paragraph">
                <wp:posOffset>0</wp:posOffset>
              </wp:positionV>
              <wp:extent cx="5760000" cy="471600"/>
              <wp:effectExtent l="0" t="0" r="0" b="0"/>
              <wp:wrapNone/>
              <wp:docPr id="7" name="Watermark">
                <a:extLst xmlns:a="http://schemas.openxmlformats.org/drawingml/2006/main">
                  <a:ext uri="{FF2B5EF4-FFF2-40B4-BE49-F238E27FC236}">
                    <a16:creationId xmlns:a16="http://schemas.microsoft.com/office/drawing/2014/main" id="{022875D5-BAF3-44F3-9D93-C2CBAF726746}"/>
                  </a:ext>
                </a:extLst>
              </wp:docPr>
              <wp:cNvGraphicFramePr/>
              <a:graphic xmlns:a="http://schemas.openxmlformats.org/drawingml/2006/main">
                <a:graphicData uri="http://schemas.microsoft.com/office/word/2010/wordprocessingShape">
                  <wps:wsp>
                    <wps:cNvSpPr txBox="1"/>
                    <wps:spPr>
                      <a:xfrm>
                        <a:off x="0" y="0"/>
                        <a:ext cx="5760000" cy="471600"/>
                      </a:xfrm>
                      <a:prstGeom prst="rect">
                        <a:avLst/>
                      </a:prstGeom>
                      <a:noFill/>
                    </wps:spPr>
                    <wps:txbx>
                      <w:txbxContent>
                        <w:p w14:paraId="6A102144" w14:textId="35E81ACC" w:rsidR="00DE6D29" w:rsidRDefault="00DE6D29" w:rsidP="00DE6D29">
                          <w:pPr>
                            <w:spacing w:after="120" w:line="264" w:lineRule="auto"/>
                            <w:rPr>
                              <w:sz w:val="24"/>
                              <w:szCs w:val="24"/>
                            </w:rPr>
                          </w:pP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1F545951" id="_x0000_t202" coordsize="21600,21600" o:spt="202" path="m,l,21600r21600,l21600,xe">
              <v:stroke joinstyle="miter"/>
              <v:path gradientshapeok="t" o:connecttype="rect"/>
            </v:shapetype>
            <v:shape id="Watermark" o:spid="_x0000_s1026" type="#_x0000_t202" style="position:absolute;margin-left:0;margin-top:0;width:453.5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" filled="f" stroked="f">
              <v:textbox style="mso-fit-shape-to-text:t" inset="0,0,0,0">
                <w:txbxContent>
                  <w:p w14:paraId="6A102144" w14:textId="35E81ACC" w:rsidR="00DE6D29" w:rsidRDefault="00DE6D29" w:rsidP="00DE6D29">
                    <w:pPr>
                      <w:spacing w:after="120" w:line="264" w:lineRule="auto"/>
                      <w:rPr>
                        <w:sz w:val="24"/>
                        <w:szCs w:val="24"/>
                      </w:rPr>
                    </w:pPr>
                  </w:p>
                </w:txbxContent>
              </v:textbox>
            </v:shape>
          </w:pict>
        </mc:Fallback>
      </mc:AlternateContent>
    </w:r>
    <w:r w:rsidR="00DE07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9pt" o:bullet="t">
        <v:imagedata r:id="rId1" o:title="Redington_chevron-bullet"/>
      </v:shape>
    </w:pict>
  </w:numPicBullet>
  <w:abstractNum w:abstractNumId="0" w15:restartNumberingAfterBreak="0">
    <w:nsid w:val="241A265C"/>
    <w:multiLevelType w:val="multilevel"/>
    <w:tmpl w:val="15281C86"/>
    <w:styleLink w:val="BulletList"/>
    <w:lvl w:ilvl="0">
      <w:start w:val="1"/>
      <w:numFmt w:val="bullet"/>
      <w:pStyle w:val="BulletList1"/>
      <w:lvlText w:val="●"/>
      <w:lvlJc w:val="left"/>
      <w:pPr>
        <w:ind w:left="340" w:hanging="340"/>
      </w:pPr>
      <w:rPr>
        <w:rFonts w:asciiTheme="minorHAnsi" w:hAnsiTheme="minorHAnsi" w:hint="default"/>
        <w:color w:val="auto"/>
        <w:sz w:val="16"/>
      </w:rPr>
    </w:lvl>
    <w:lvl w:ilvl="1">
      <w:start w:val="1"/>
      <w:numFmt w:val="bullet"/>
      <w:pStyle w:val="BulletList2"/>
      <w:lvlText w:val=""/>
      <w:lvlJc w:val="left"/>
      <w:pPr>
        <w:ind w:left="680" w:hanging="340"/>
      </w:pPr>
      <w:rPr>
        <w:rFonts w:ascii="Symbol" w:hAnsi="Symbol" w:hint="default"/>
        <w:color w:val="auto"/>
        <w:sz w:val="16"/>
      </w:rPr>
    </w:lvl>
    <w:lvl w:ilvl="2">
      <w:start w:val="1"/>
      <w:numFmt w:val="bullet"/>
      <w:pStyle w:val="BulletList3"/>
      <w:lvlText w:val="–"/>
      <w:lvlJc w:val="left"/>
      <w:pPr>
        <w:ind w:left="1020" w:hanging="340"/>
      </w:pPr>
      <w:rPr>
        <w:rFonts w:ascii="Segoe UI" w:hAnsi="Segoe UI" w:hint="default"/>
        <w:color w:val="auto"/>
      </w:rPr>
    </w:lvl>
    <w:lvl w:ilvl="3">
      <w:start w:val="1"/>
      <w:numFmt w:val="bullet"/>
      <w:pStyle w:val="BulletList4"/>
      <w:lvlText w:val="—"/>
      <w:lvlJc w:val="left"/>
      <w:pPr>
        <w:ind w:left="1360" w:hanging="340"/>
      </w:pPr>
      <w:rPr>
        <w:rFonts w:asciiTheme="minorHAnsi" w:hAnsiTheme="minorHAnsi" w:hint="default"/>
      </w:rPr>
    </w:lvl>
    <w:lvl w:ilvl="4">
      <w:start w:val="1"/>
      <w:numFmt w:val="bullet"/>
      <w:pStyle w:val="BulletList5"/>
      <w:lvlText w:val="–"/>
      <w:lvlJc w:val="left"/>
      <w:pPr>
        <w:ind w:left="1700" w:hanging="340"/>
      </w:pPr>
      <w:rPr>
        <w:rFonts w:asciiTheme="minorHAnsi" w:hAnsiTheme="minorHAnsi" w:hint="default"/>
        <w:color w:val="auto"/>
      </w:rPr>
    </w:lvl>
    <w:lvl w:ilvl="5">
      <w:start w:val="1"/>
      <w:numFmt w:val="bullet"/>
      <w:pStyle w:val="BulletList6"/>
      <w:lvlText w:val="-"/>
      <w:lvlJc w:val="left"/>
      <w:pPr>
        <w:ind w:left="2040" w:hanging="340"/>
      </w:pPr>
      <w:rPr>
        <w:rFonts w:asciiTheme="minorHAnsi" w:hAnsiTheme="minorHAnsi" w:hint="default"/>
      </w:rPr>
    </w:lvl>
    <w:lvl w:ilvl="6">
      <w:start w:val="1"/>
      <w:numFmt w:val="bullet"/>
      <w:pStyle w:val="BulletList7"/>
      <w:lvlText w:val="—"/>
      <w:lvlJc w:val="left"/>
      <w:pPr>
        <w:ind w:left="2380" w:hanging="340"/>
      </w:pPr>
      <w:rPr>
        <w:rFonts w:asciiTheme="minorHAnsi" w:hAnsiTheme="minorHAnsi" w:hint="default"/>
      </w:rPr>
    </w:lvl>
    <w:lvl w:ilvl="7">
      <w:start w:val="1"/>
      <w:numFmt w:val="bullet"/>
      <w:pStyle w:val="BulletList8"/>
      <w:lvlText w:val="–"/>
      <w:lvlJc w:val="left"/>
      <w:pPr>
        <w:ind w:left="2720" w:hanging="340"/>
      </w:pPr>
      <w:rPr>
        <w:rFonts w:asciiTheme="minorHAnsi" w:hAnsiTheme="minorHAnsi" w:hint="default"/>
        <w:color w:val="auto"/>
      </w:rPr>
    </w:lvl>
    <w:lvl w:ilvl="8">
      <w:start w:val="1"/>
      <w:numFmt w:val="bullet"/>
      <w:pStyle w:val="BulletList9"/>
      <w:lvlText w:val="-"/>
      <w:lvlJc w:val="left"/>
      <w:pPr>
        <w:ind w:left="3060" w:hanging="340"/>
      </w:pPr>
      <w:rPr>
        <w:rFonts w:asciiTheme="minorHAnsi" w:hAnsiTheme="minorHAnsi" w:hint="default"/>
      </w:rPr>
    </w:lvl>
  </w:abstractNum>
  <w:abstractNum w:abstractNumId="1" w15:restartNumberingAfterBreak="0">
    <w:nsid w:val="3B637545"/>
    <w:multiLevelType w:val="multilevel"/>
    <w:tmpl w:val="11AA25DE"/>
    <w:styleLink w:val="NumberedList"/>
    <w:lvl w:ilvl="0">
      <w:start w:val="1"/>
      <w:numFmt w:val="decimal"/>
      <w:pStyle w:val="NumberedList1"/>
      <w:lvlText w:val="%1."/>
      <w:lvlJc w:val="left"/>
      <w:pPr>
        <w:ind w:left="340" w:hanging="340"/>
      </w:pPr>
      <w:rPr>
        <w:rFonts w:asciiTheme="minorHAnsi" w:hAnsiTheme="minorHAnsi"/>
        <w:b w:val="0"/>
        <w:i w:val="0"/>
        <w:color w:val="auto"/>
      </w:rPr>
    </w:lvl>
    <w:lvl w:ilvl="1">
      <w:start w:val="1"/>
      <w:numFmt w:val="lowerLetter"/>
      <w:pStyle w:val="NumberedList2"/>
      <w:lvlText w:val="%2)"/>
      <w:lvlJc w:val="left"/>
      <w:pPr>
        <w:tabs>
          <w:tab w:val="num" w:pos="1020"/>
        </w:tabs>
        <w:ind w:left="680" w:hanging="340"/>
      </w:pPr>
      <w:rPr>
        <w:rFonts w:hint="default"/>
        <w:b w:val="0"/>
        <w:color w:val="auto"/>
      </w:rPr>
    </w:lvl>
    <w:lvl w:ilvl="2">
      <w:start w:val="1"/>
      <w:numFmt w:val="lowerRoman"/>
      <w:pStyle w:val="NumberedList3"/>
      <w:lvlText w:val="%3)"/>
      <w:lvlJc w:val="left"/>
      <w:pPr>
        <w:tabs>
          <w:tab w:val="num" w:pos="1360"/>
        </w:tabs>
        <w:ind w:left="1020" w:hanging="340"/>
      </w:pPr>
      <w:rPr>
        <w:rFonts w:hint="default"/>
        <w:b w:val="0"/>
        <w:color w:val="auto"/>
      </w:rPr>
    </w:lvl>
    <w:lvl w:ilvl="3">
      <w:start w:val="1"/>
      <w:numFmt w:val="upperLetter"/>
      <w:pStyle w:val="NumberedList4"/>
      <w:lvlText w:val="%4."/>
      <w:lvlJc w:val="left"/>
      <w:pPr>
        <w:tabs>
          <w:tab w:val="num" w:pos="1700"/>
        </w:tabs>
        <w:ind w:left="1360" w:hanging="340"/>
      </w:pPr>
      <w:rPr>
        <w:rFonts w:hint="default"/>
      </w:rPr>
    </w:lvl>
    <w:lvl w:ilvl="4">
      <w:start w:val="1"/>
      <w:numFmt w:val="upperRoman"/>
      <w:pStyle w:val="NumberedList5"/>
      <w:lvlText w:val="%5."/>
      <w:lvlJc w:val="left"/>
      <w:pPr>
        <w:tabs>
          <w:tab w:val="num" w:pos="2040"/>
        </w:tabs>
        <w:ind w:left="1700" w:hanging="340"/>
      </w:pPr>
      <w:rPr>
        <w:rFonts w:hint="default"/>
      </w:rPr>
    </w:lvl>
    <w:lvl w:ilvl="5">
      <w:start w:val="1"/>
      <w:numFmt w:val="decimal"/>
      <w:pStyle w:val="NumberedList6"/>
      <w:lvlText w:val="(%6)."/>
      <w:lvlJc w:val="left"/>
      <w:pPr>
        <w:tabs>
          <w:tab w:val="num" w:pos="2380"/>
        </w:tabs>
        <w:ind w:left="2040" w:hanging="340"/>
      </w:pPr>
      <w:rPr>
        <w:rFonts w:hint="default"/>
      </w:rPr>
    </w:lvl>
    <w:lvl w:ilvl="6">
      <w:start w:val="1"/>
      <w:numFmt w:val="lowerLetter"/>
      <w:pStyle w:val="NumberedList7"/>
      <w:lvlText w:val="(%7)"/>
      <w:lvlJc w:val="left"/>
      <w:pPr>
        <w:tabs>
          <w:tab w:val="num" w:pos="2720"/>
        </w:tabs>
        <w:ind w:left="2380" w:hanging="340"/>
      </w:pPr>
      <w:rPr>
        <w:rFonts w:hint="default"/>
      </w:rPr>
    </w:lvl>
    <w:lvl w:ilvl="7">
      <w:start w:val="1"/>
      <w:numFmt w:val="lowerRoman"/>
      <w:pStyle w:val="NumberedList8"/>
      <w:lvlText w:val="(%8)"/>
      <w:lvlJc w:val="left"/>
      <w:pPr>
        <w:tabs>
          <w:tab w:val="num" w:pos="3060"/>
        </w:tabs>
        <w:ind w:left="2720" w:hanging="340"/>
      </w:pPr>
      <w:rPr>
        <w:rFonts w:hint="default"/>
      </w:rPr>
    </w:lvl>
    <w:lvl w:ilvl="8">
      <w:start w:val="1"/>
      <w:numFmt w:val="upperLetter"/>
      <w:pStyle w:val="NumberedList9"/>
      <w:lvlText w:val="(%9)"/>
      <w:lvlJc w:val="left"/>
      <w:pPr>
        <w:tabs>
          <w:tab w:val="num" w:pos="3400"/>
        </w:tabs>
        <w:ind w:left="3060" w:hanging="340"/>
      </w:pPr>
      <w:rPr>
        <w:rFonts w:hint="default"/>
      </w:rPr>
    </w:lvl>
  </w:abstractNum>
  <w:abstractNum w:abstractNumId="2" w15:restartNumberingAfterBreak="0">
    <w:nsid w:val="52A954AA"/>
    <w:multiLevelType w:val="multilevel"/>
    <w:tmpl w:val="6F2A1B26"/>
    <w:name w:val="BulletListTemplate"/>
    <w:lvl w:ilvl="0">
      <w:start w:val="1"/>
      <w:numFmt w:val="decimal"/>
      <w:lvlText w:val="•"/>
      <w:lvlJc w:val="left"/>
      <w:pPr>
        <w:ind w:left="340" w:hanging="340"/>
      </w:pPr>
      <w:rPr>
        <w:rFonts w:ascii="Calibri" w:hAnsi="Calibri"/>
      </w:rPr>
    </w:lvl>
    <w:lvl w:ilvl="1">
      <w:start w:val="1"/>
      <w:numFmt w:val="lowerLetter"/>
      <w:lvlText w:val="–"/>
      <w:lvlJc w:val="left"/>
      <w:pPr>
        <w:ind w:left="680" w:hanging="340"/>
      </w:pPr>
      <w:rPr>
        <w:rFonts w:ascii="Calibri" w:hAnsi="Calibri"/>
        <w:color w:val="000000"/>
      </w:rPr>
    </w:lvl>
    <w:lvl w:ilvl="2">
      <w:start w:val="1"/>
      <w:numFmt w:val="lowerRoman"/>
      <w:lvlText w:val="–"/>
      <w:lvlJc w:val="left"/>
      <w:pPr>
        <w:ind w:left="1020" w:hanging="340"/>
      </w:pPr>
      <w:rPr>
        <w:rFonts w:ascii="Calibri" w:hAnsi="Calibri"/>
        <w:color w:val="000000"/>
      </w:rPr>
    </w:lvl>
    <w:lvl w:ilvl="3">
      <w:start w:val="1"/>
      <w:numFmt w:val="decimal"/>
      <w:lvlText w:val=""/>
      <w:lvlJc w:val="left"/>
      <w:pPr>
        <w:ind w:left="0" w:firstLine="0"/>
      </w:pPr>
      <w:rPr>
        <w:color w:val="000000"/>
      </w:rPr>
    </w:lvl>
    <w:lvl w:ilvl="4">
      <w:start w:val="1"/>
      <w:numFmt w:val="lowerLetter"/>
      <w:lvlText w:val=""/>
      <w:lvlJc w:val="left"/>
      <w:pPr>
        <w:ind w:left="0" w:firstLine="0"/>
      </w:pPr>
      <w:rPr>
        <w:color w:val="000000"/>
      </w:rPr>
    </w:lvl>
    <w:lvl w:ilvl="5">
      <w:start w:val="1"/>
      <w:numFmt w:val="lowerRoman"/>
      <w:lvlText w:val=""/>
      <w:lvlJc w:val="left"/>
      <w:pPr>
        <w:ind w:left="0" w:firstLine="0"/>
      </w:pPr>
      <w:rPr>
        <w:color w:val="000000"/>
      </w:rPr>
    </w:lvl>
    <w:lvl w:ilvl="6">
      <w:start w:val="1"/>
      <w:numFmt w:val="decimal"/>
      <w:lvlText w:val=""/>
      <w:lvlJc w:val="left"/>
      <w:pPr>
        <w:ind w:left="0" w:firstLine="0"/>
      </w:pPr>
      <w:rPr>
        <w:color w:val="000000"/>
      </w:rPr>
    </w:lvl>
    <w:lvl w:ilvl="7">
      <w:start w:val="1"/>
      <w:numFmt w:val="lowerLetter"/>
      <w:lvlText w:val=""/>
      <w:lvlJc w:val="left"/>
      <w:pPr>
        <w:ind w:left="0" w:firstLine="0"/>
      </w:pPr>
      <w:rPr>
        <w:color w:val="000000"/>
      </w:rPr>
    </w:lvl>
    <w:lvl w:ilvl="8">
      <w:start w:val="1"/>
      <w:numFmt w:val="lowerRoman"/>
      <w:lvlText w:val=""/>
      <w:lvlJc w:val="left"/>
      <w:pPr>
        <w:ind w:left="0" w:firstLine="0"/>
      </w:pPr>
      <w:rPr>
        <w:color w:val="000000"/>
      </w:rPr>
    </w:lvl>
  </w:abstractNum>
  <w:abstractNum w:abstractNumId="3" w15:restartNumberingAfterBreak="0">
    <w:nsid w:val="688049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1A1860"/>
    <w:multiLevelType w:val="multilevel"/>
    <w:tmpl w:val="A67E9C80"/>
    <w:name w:val="Captions2"/>
    <w:styleLink w:val="TableCaptionNumber"/>
    <w:lvl w:ilvl="0">
      <w:start w:val="1"/>
      <w:numFmt w:val="decimal"/>
      <w:pStyle w:val="TableCaption"/>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1D1C62"/>
    <w:multiLevelType w:val="multilevel"/>
    <w:tmpl w:val="F178222A"/>
    <w:styleLink w:val="Legal"/>
    <w:lvl w:ilvl="0">
      <w:start w:val="1"/>
      <w:numFmt w:val="decimal"/>
      <w:pStyle w:val="Legal1"/>
      <w:lvlText w:val="%1."/>
      <w:lvlJc w:val="left"/>
      <w:pPr>
        <w:ind w:left="680" w:hanging="680"/>
      </w:pPr>
      <w:rPr>
        <w:rFonts w:hint="default"/>
      </w:rPr>
    </w:lvl>
    <w:lvl w:ilvl="1">
      <w:start w:val="1"/>
      <w:numFmt w:val="decimal"/>
      <w:pStyle w:val="Legal2"/>
      <w:isLgl/>
      <w:lvlText w:val="%1.%2"/>
      <w:lvlJc w:val="left"/>
      <w:pPr>
        <w:ind w:left="680" w:hanging="680"/>
      </w:pPr>
      <w:rPr>
        <w:rFonts w:hint="default"/>
      </w:rPr>
    </w:lvl>
    <w:lvl w:ilvl="2">
      <w:start w:val="1"/>
      <w:numFmt w:val="decimal"/>
      <w:pStyle w:val="Legal3"/>
      <w:lvlText w:val="%1.%2.%3"/>
      <w:lvlJc w:val="left"/>
      <w:pPr>
        <w:ind w:left="1361" w:hanging="681"/>
      </w:pPr>
      <w:rPr>
        <w:rFonts w:hint="default"/>
      </w:rPr>
    </w:lvl>
    <w:lvl w:ilvl="3">
      <w:start w:val="1"/>
      <w:numFmt w:val="decimal"/>
      <w:pStyle w:val="Legal4"/>
      <w:lvlText w:val="%1.%2.%3.%4"/>
      <w:lvlJc w:val="left"/>
      <w:pPr>
        <w:ind w:left="2381" w:hanging="1020"/>
      </w:pPr>
      <w:rPr>
        <w:rFonts w:hint="default"/>
      </w:rPr>
    </w:lvl>
    <w:lvl w:ilvl="4">
      <w:start w:val="1"/>
      <w:numFmt w:val="decimal"/>
      <w:pStyle w:val="Legal5"/>
      <w:lvlText w:val="%1.%2.%3.%4.%5"/>
      <w:lvlJc w:val="left"/>
      <w:pPr>
        <w:tabs>
          <w:tab w:val="num" w:pos="2381"/>
        </w:tabs>
        <w:ind w:left="3402" w:hanging="1021"/>
      </w:pPr>
      <w:rPr>
        <w:rFonts w:hint="default"/>
      </w:rPr>
    </w:lvl>
    <w:lvl w:ilvl="5">
      <w:start w:val="1"/>
      <w:numFmt w:val="decimal"/>
      <w:pStyle w:val="Legal6"/>
      <w:lvlText w:val="%1.%2.%3.%4.%5.%6"/>
      <w:lvlJc w:val="left"/>
      <w:pPr>
        <w:ind w:left="4763" w:hanging="1361"/>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6" w15:restartNumberingAfterBreak="0">
    <w:nsid w:val="73431CF3"/>
    <w:multiLevelType w:val="multilevel"/>
    <w:tmpl w:val="25860CB4"/>
    <w:name w:val="Captions"/>
    <w:lvl w:ilvl="0">
      <w:start w:val="1"/>
      <w:numFmt w:val="none"/>
      <w:suff w:val="space"/>
      <w:lvlText w:val=""/>
      <w:lvlJc w:val="left"/>
      <w:pPr>
        <w:ind w:left="0" w:firstLine="0"/>
      </w:pPr>
      <w:rPr>
        <w:rFonts w:hint="default"/>
      </w:rPr>
    </w:lvl>
    <w:lvl w:ilvl="1">
      <w:start w:val="1"/>
      <w:numFmt w:val="decimal"/>
      <w:suff w:val="space"/>
      <w:lvlText w:val="Figure %2."/>
      <w:lvlJc w:val="left"/>
      <w:pPr>
        <w:ind w:left="0" w:firstLine="0"/>
      </w:pPr>
      <w:rPr>
        <w:rFonts w:hint="default"/>
      </w:rPr>
    </w:lvl>
    <w:lvl w:ilvl="2">
      <w:start w:val="1"/>
      <w:numFmt w:val="decimal"/>
      <w:lvlRestart w:val="1"/>
      <w:suff w:val="space"/>
      <w:lvlText w:val="Table %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4BB04A6"/>
    <w:multiLevelType w:val="hybridMultilevel"/>
    <w:tmpl w:val="0900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1C2D75"/>
    <w:multiLevelType w:val="multilevel"/>
    <w:tmpl w:val="1990FFC8"/>
    <w:name w:val="Captions22"/>
    <w:styleLink w:val="FigureCaptionNumber"/>
    <w:lvl w:ilvl="0">
      <w:start w:val="1"/>
      <w:numFmt w:val="decimal"/>
      <w:pStyle w:val="FigureCaption"/>
      <w:suff w:val="space"/>
      <w:lvlText w:val="Fig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3092657">
    <w:abstractNumId w:val="0"/>
  </w:num>
  <w:num w:numId="2" w16cid:durableId="1527330703">
    <w:abstractNumId w:val="1"/>
  </w:num>
  <w:num w:numId="3" w16cid:durableId="546379843">
    <w:abstractNumId w:val="4"/>
  </w:num>
  <w:num w:numId="4" w16cid:durableId="224148216">
    <w:abstractNumId w:val="8"/>
  </w:num>
  <w:num w:numId="5" w16cid:durableId="1070615148">
    <w:abstractNumId w:val="0"/>
  </w:num>
  <w:num w:numId="6" w16cid:durableId="207421666">
    <w:abstractNumId w:val="5"/>
  </w:num>
  <w:num w:numId="7" w16cid:durableId="1850441088">
    <w:abstractNumId w:val="5"/>
  </w:num>
  <w:num w:numId="8" w16cid:durableId="704789107">
    <w:abstractNumId w:val="3"/>
  </w:num>
  <w:num w:numId="9" w16cid:durableId="71821264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35"/>
    <w:rsid w:val="00003B72"/>
    <w:rsid w:val="00012219"/>
    <w:rsid w:val="000140C0"/>
    <w:rsid w:val="0002144B"/>
    <w:rsid w:val="00023E5D"/>
    <w:rsid w:val="000279BC"/>
    <w:rsid w:val="00052D85"/>
    <w:rsid w:val="00061616"/>
    <w:rsid w:val="00074188"/>
    <w:rsid w:val="00097FDC"/>
    <w:rsid w:val="000A1AC2"/>
    <w:rsid w:val="000A3356"/>
    <w:rsid w:val="000A5A31"/>
    <w:rsid w:val="000B472C"/>
    <w:rsid w:val="000C281D"/>
    <w:rsid w:val="000D0E29"/>
    <w:rsid w:val="000D23BF"/>
    <w:rsid w:val="00111A78"/>
    <w:rsid w:val="00123DD9"/>
    <w:rsid w:val="001248B1"/>
    <w:rsid w:val="001318D0"/>
    <w:rsid w:val="001436EF"/>
    <w:rsid w:val="0015054B"/>
    <w:rsid w:val="001521B5"/>
    <w:rsid w:val="00152D80"/>
    <w:rsid w:val="001555F7"/>
    <w:rsid w:val="00161A4C"/>
    <w:rsid w:val="00172B18"/>
    <w:rsid w:val="0018209E"/>
    <w:rsid w:val="00182DB7"/>
    <w:rsid w:val="00183281"/>
    <w:rsid w:val="00183BD6"/>
    <w:rsid w:val="00184303"/>
    <w:rsid w:val="001857F4"/>
    <w:rsid w:val="00186F7F"/>
    <w:rsid w:val="00192771"/>
    <w:rsid w:val="00193BF1"/>
    <w:rsid w:val="001976E9"/>
    <w:rsid w:val="001A10B8"/>
    <w:rsid w:val="001B1D58"/>
    <w:rsid w:val="001B6BA9"/>
    <w:rsid w:val="001C187E"/>
    <w:rsid w:val="001C3D6C"/>
    <w:rsid w:val="001C574E"/>
    <w:rsid w:val="001E121F"/>
    <w:rsid w:val="0020743B"/>
    <w:rsid w:val="0022788B"/>
    <w:rsid w:val="0023676E"/>
    <w:rsid w:val="002461F6"/>
    <w:rsid w:val="00270CBE"/>
    <w:rsid w:val="002751E5"/>
    <w:rsid w:val="00275F0F"/>
    <w:rsid w:val="00276DD1"/>
    <w:rsid w:val="002A4997"/>
    <w:rsid w:val="002A56E2"/>
    <w:rsid w:val="002B24D6"/>
    <w:rsid w:val="002B2B7B"/>
    <w:rsid w:val="002B6D7E"/>
    <w:rsid w:val="002C67ED"/>
    <w:rsid w:val="002D243E"/>
    <w:rsid w:val="002D65DF"/>
    <w:rsid w:val="002E19A0"/>
    <w:rsid w:val="002E1C71"/>
    <w:rsid w:val="002E2BA4"/>
    <w:rsid w:val="002E43F6"/>
    <w:rsid w:val="002F3E5E"/>
    <w:rsid w:val="00305BB3"/>
    <w:rsid w:val="0031145D"/>
    <w:rsid w:val="00313911"/>
    <w:rsid w:val="003178EC"/>
    <w:rsid w:val="00322FE7"/>
    <w:rsid w:val="00351767"/>
    <w:rsid w:val="00376EB5"/>
    <w:rsid w:val="00380B66"/>
    <w:rsid w:val="003869B1"/>
    <w:rsid w:val="003A440D"/>
    <w:rsid w:val="003A6387"/>
    <w:rsid w:val="003C016F"/>
    <w:rsid w:val="003C0FF9"/>
    <w:rsid w:val="003C67C9"/>
    <w:rsid w:val="003F65A6"/>
    <w:rsid w:val="00402498"/>
    <w:rsid w:val="00404574"/>
    <w:rsid w:val="00405D0E"/>
    <w:rsid w:val="0041040F"/>
    <w:rsid w:val="00420BD0"/>
    <w:rsid w:val="00423DD9"/>
    <w:rsid w:val="00426536"/>
    <w:rsid w:val="00427E81"/>
    <w:rsid w:val="004428B2"/>
    <w:rsid w:val="0044723D"/>
    <w:rsid w:val="00447DF7"/>
    <w:rsid w:val="00450B25"/>
    <w:rsid w:val="004547C3"/>
    <w:rsid w:val="004550C3"/>
    <w:rsid w:val="00464529"/>
    <w:rsid w:val="004722FE"/>
    <w:rsid w:val="00475E81"/>
    <w:rsid w:val="004823C2"/>
    <w:rsid w:val="00482EA9"/>
    <w:rsid w:val="00490237"/>
    <w:rsid w:val="0049455C"/>
    <w:rsid w:val="00497019"/>
    <w:rsid w:val="004B06A6"/>
    <w:rsid w:val="004B6148"/>
    <w:rsid w:val="004B7D36"/>
    <w:rsid w:val="004D430E"/>
    <w:rsid w:val="004E00F9"/>
    <w:rsid w:val="0050439B"/>
    <w:rsid w:val="00513F16"/>
    <w:rsid w:val="00521FDE"/>
    <w:rsid w:val="00523808"/>
    <w:rsid w:val="00524440"/>
    <w:rsid w:val="005318CD"/>
    <w:rsid w:val="00535240"/>
    <w:rsid w:val="00537F5D"/>
    <w:rsid w:val="00543885"/>
    <w:rsid w:val="005438A4"/>
    <w:rsid w:val="00543CDE"/>
    <w:rsid w:val="005445AF"/>
    <w:rsid w:val="005573C0"/>
    <w:rsid w:val="00561ABE"/>
    <w:rsid w:val="00577CAD"/>
    <w:rsid w:val="00583F12"/>
    <w:rsid w:val="00595FCC"/>
    <w:rsid w:val="005A69A0"/>
    <w:rsid w:val="005A69AF"/>
    <w:rsid w:val="005D2EC2"/>
    <w:rsid w:val="005E5DA5"/>
    <w:rsid w:val="005F2CA3"/>
    <w:rsid w:val="005F3144"/>
    <w:rsid w:val="005F4B7E"/>
    <w:rsid w:val="005F7F67"/>
    <w:rsid w:val="00610772"/>
    <w:rsid w:val="00610DDF"/>
    <w:rsid w:val="00611464"/>
    <w:rsid w:val="00614E9C"/>
    <w:rsid w:val="0062424D"/>
    <w:rsid w:val="00627D8A"/>
    <w:rsid w:val="00641175"/>
    <w:rsid w:val="00650AEF"/>
    <w:rsid w:val="006535A2"/>
    <w:rsid w:val="00657E07"/>
    <w:rsid w:val="00663166"/>
    <w:rsid w:val="00663252"/>
    <w:rsid w:val="00666278"/>
    <w:rsid w:val="00667448"/>
    <w:rsid w:val="00675305"/>
    <w:rsid w:val="00686AC5"/>
    <w:rsid w:val="00695414"/>
    <w:rsid w:val="006A6EF8"/>
    <w:rsid w:val="006B0622"/>
    <w:rsid w:val="006B40FF"/>
    <w:rsid w:val="006B44AE"/>
    <w:rsid w:val="006B77E5"/>
    <w:rsid w:val="006D0776"/>
    <w:rsid w:val="006D2F2A"/>
    <w:rsid w:val="006E2362"/>
    <w:rsid w:val="006E683A"/>
    <w:rsid w:val="0071439A"/>
    <w:rsid w:val="007206C6"/>
    <w:rsid w:val="00720A9F"/>
    <w:rsid w:val="00734A68"/>
    <w:rsid w:val="00737AA5"/>
    <w:rsid w:val="00741B31"/>
    <w:rsid w:val="00743DE3"/>
    <w:rsid w:val="00746931"/>
    <w:rsid w:val="00754812"/>
    <w:rsid w:val="007554A9"/>
    <w:rsid w:val="007835B3"/>
    <w:rsid w:val="007857EC"/>
    <w:rsid w:val="007974EE"/>
    <w:rsid w:val="007A34F0"/>
    <w:rsid w:val="007B449F"/>
    <w:rsid w:val="007C4871"/>
    <w:rsid w:val="007F2BFA"/>
    <w:rsid w:val="007F486F"/>
    <w:rsid w:val="00802957"/>
    <w:rsid w:val="00812CA2"/>
    <w:rsid w:val="00815F65"/>
    <w:rsid w:val="008401C8"/>
    <w:rsid w:val="00853487"/>
    <w:rsid w:val="00866ED3"/>
    <w:rsid w:val="00891D50"/>
    <w:rsid w:val="00893E7A"/>
    <w:rsid w:val="008946C4"/>
    <w:rsid w:val="008A027A"/>
    <w:rsid w:val="008A72BB"/>
    <w:rsid w:val="008B7C63"/>
    <w:rsid w:val="008C4017"/>
    <w:rsid w:val="008C51AF"/>
    <w:rsid w:val="008C60D1"/>
    <w:rsid w:val="008D0D8F"/>
    <w:rsid w:val="008E776C"/>
    <w:rsid w:val="00912BF2"/>
    <w:rsid w:val="00921230"/>
    <w:rsid w:val="00924C23"/>
    <w:rsid w:val="009306A0"/>
    <w:rsid w:val="00940A6D"/>
    <w:rsid w:val="00942694"/>
    <w:rsid w:val="0094293A"/>
    <w:rsid w:val="009545A8"/>
    <w:rsid w:val="00954913"/>
    <w:rsid w:val="00956829"/>
    <w:rsid w:val="0096657A"/>
    <w:rsid w:val="009711C4"/>
    <w:rsid w:val="00971E87"/>
    <w:rsid w:val="009817D7"/>
    <w:rsid w:val="00985E2A"/>
    <w:rsid w:val="00986435"/>
    <w:rsid w:val="00997618"/>
    <w:rsid w:val="009B30B9"/>
    <w:rsid w:val="009B484B"/>
    <w:rsid w:val="009D3BF5"/>
    <w:rsid w:val="009D5411"/>
    <w:rsid w:val="009D77FA"/>
    <w:rsid w:val="009F2930"/>
    <w:rsid w:val="009F3174"/>
    <w:rsid w:val="00A14F59"/>
    <w:rsid w:val="00A24851"/>
    <w:rsid w:val="00A26927"/>
    <w:rsid w:val="00A311ED"/>
    <w:rsid w:val="00A379DA"/>
    <w:rsid w:val="00A41C17"/>
    <w:rsid w:val="00A42F5E"/>
    <w:rsid w:val="00A523CB"/>
    <w:rsid w:val="00A56411"/>
    <w:rsid w:val="00A754E3"/>
    <w:rsid w:val="00A85EF5"/>
    <w:rsid w:val="00A922C6"/>
    <w:rsid w:val="00A9289B"/>
    <w:rsid w:val="00A96395"/>
    <w:rsid w:val="00AA1122"/>
    <w:rsid w:val="00AA4E03"/>
    <w:rsid w:val="00AB2183"/>
    <w:rsid w:val="00AC0180"/>
    <w:rsid w:val="00AC7684"/>
    <w:rsid w:val="00AD2418"/>
    <w:rsid w:val="00AD27A0"/>
    <w:rsid w:val="00AD38D5"/>
    <w:rsid w:val="00AE0FBB"/>
    <w:rsid w:val="00AE38EC"/>
    <w:rsid w:val="00AF084D"/>
    <w:rsid w:val="00B04069"/>
    <w:rsid w:val="00B11F6A"/>
    <w:rsid w:val="00B16A33"/>
    <w:rsid w:val="00B302F3"/>
    <w:rsid w:val="00B33A57"/>
    <w:rsid w:val="00B353B6"/>
    <w:rsid w:val="00B4748F"/>
    <w:rsid w:val="00B52ED8"/>
    <w:rsid w:val="00B56BA3"/>
    <w:rsid w:val="00B64051"/>
    <w:rsid w:val="00B66089"/>
    <w:rsid w:val="00B67D61"/>
    <w:rsid w:val="00B862AB"/>
    <w:rsid w:val="00BD4B37"/>
    <w:rsid w:val="00BE160F"/>
    <w:rsid w:val="00BE6AC0"/>
    <w:rsid w:val="00BF187E"/>
    <w:rsid w:val="00BF2B4B"/>
    <w:rsid w:val="00BF402B"/>
    <w:rsid w:val="00C10B50"/>
    <w:rsid w:val="00C10D91"/>
    <w:rsid w:val="00C173D0"/>
    <w:rsid w:val="00C20F5B"/>
    <w:rsid w:val="00C24361"/>
    <w:rsid w:val="00C25916"/>
    <w:rsid w:val="00C3589E"/>
    <w:rsid w:val="00C4055C"/>
    <w:rsid w:val="00C41255"/>
    <w:rsid w:val="00C6139C"/>
    <w:rsid w:val="00C7181A"/>
    <w:rsid w:val="00C74CB1"/>
    <w:rsid w:val="00CB2B7A"/>
    <w:rsid w:val="00CC452B"/>
    <w:rsid w:val="00CC6A56"/>
    <w:rsid w:val="00CD2BB9"/>
    <w:rsid w:val="00CD41EA"/>
    <w:rsid w:val="00CE0AD4"/>
    <w:rsid w:val="00CF602B"/>
    <w:rsid w:val="00D2670B"/>
    <w:rsid w:val="00D3074C"/>
    <w:rsid w:val="00D31A33"/>
    <w:rsid w:val="00D35571"/>
    <w:rsid w:val="00D35B77"/>
    <w:rsid w:val="00D4274C"/>
    <w:rsid w:val="00D42CF6"/>
    <w:rsid w:val="00D47346"/>
    <w:rsid w:val="00D47EEB"/>
    <w:rsid w:val="00D53485"/>
    <w:rsid w:val="00D56828"/>
    <w:rsid w:val="00D60FFF"/>
    <w:rsid w:val="00D617AC"/>
    <w:rsid w:val="00D6308F"/>
    <w:rsid w:val="00D6328F"/>
    <w:rsid w:val="00D67B01"/>
    <w:rsid w:val="00D74D82"/>
    <w:rsid w:val="00D77BDE"/>
    <w:rsid w:val="00D854D8"/>
    <w:rsid w:val="00DA4D3D"/>
    <w:rsid w:val="00DB6D02"/>
    <w:rsid w:val="00DC0B8D"/>
    <w:rsid w:val="00DE03D4"/>
    <w:rsid w:val="00DE07A8"/>
    <w:rsid w:val="00DE6D29"/>
    <w:rsid w:val="00DF2BBD"/>
    <w:rsid w:val="00E3190E"/>
    <w:rsid w:val="00E3685B"/>
    <w:rsid w:val="00E36C8B"/>
    <w:rsid w:val="00E4191F"/>
    <w:rsid w:val="00E5768E"/>
    <w:rsid w:val="00E6071B"/>
    <w:rsid w:val="00E76570"/>
    <w:rsid w:val="00E76F1F"/>
    <w:rsid w:val="00E82EC1"/>
    <w:rsid w:val="00E87176"/>
    <w:rsid w:val="00E95720"/>
    <w:rsid w:val="00E974FF"/>
    <w:rsid w:val="00EA2DEF"/>
    <w:rsid w:val="00EA49A5"/>
    <w:rsid w:val="00EB4BD8"/>
    <w:rsid w:val="00EB5E40"/>
    <w:rsid w:val="00EB6769"/>
    <w:rsid w:val="00EC7286"/>
    <w:rsid w:val="00EC74E5"/>
    <w:rsid w:val="00F04724"/>
    <w:rsid w:val="00F0633E"/>
    <w:rsid w:val="00F07E98"/>
    <w:rsid w:val="00F14781"/>
    <w:rsid w:val="00F3129B"/>
    <w:rsid w:val="00F34700"/>
    <w:rsid w:val="00F37878"/>
    <w:rsid w:val="00F608B7"/>
    <w:rsid w:val="00F90CBE"/>
    <w:rsid w:val="00F964D7"/>
    <w:rsid w:val="00FA2E11"/>
    <w:rsid w:val="00FA7C47"/>
    <w:rsid w:val="00FB2F25"/>
    <w:rsid w:val="00FC473E"/>
    <w:rsid w:val="00FC5499"/>
    <w:rsid w:val="00FC6375"/>
    <w:rsid w:val="00FC711F"/>
    <w:rsid w:val="00FD1CD6"/>
    <w:rsid w:val="00FE104C"/>
    <w:rsid w:val="00FE2971"/>
    <w:rsid w:val="00FF1223"/>
    <w:rsid w:val="00FF5855"/>
    <w:rsid w:val="00FF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D5125A9"/>
  <w15:chartTrackingRefBased/>
  <w15:docId w15:val="{E9539419-1055-4684-B4DF-D14B5DF9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35"/>
    <w:pPr>
      <w:spacing w:after="0" w:line="240" w:lineRule="auto"/>
    </w:pPr>
    <w:rPr>
      <w:rFonts w:ascii="Calibri" w:eastAsia="Calibri" w:hAnsi="Calibri" w:cs="Times New Roman"/>
    </w:rPr>
  </w:style>
  <w:style w:type="paragraph" w:styleId="Heading1">
    <w:name w:val="heading 1"/>
    <w:basedOn w:val="Base"/>
    <w:next w:val="BodyTextFirst"/>
    <w:link w:val="Heading1Char"/>
    <w:qFormat/>
    <w:rsid w:val="00DC0B8D"/>
    <w:pPr>
      <w:keepNext/>
      <w:keepLines/>
      <w:spacing w:before="480" w:after="120"/>
      <w:outlineLvl w:val="0"/>
    </w:pPr>
    <w:rPr>
      <w:rFonts w:eastAsiaTheme="majorEastAsia" w:cstheme="majorBidi"/>
      <w:b/>
      <w:bCs/>
      <w:sz w:val="32"/>
      <w:szCs w:val="28"/>
    </w:rPr>
  </w:style>
  <w:style w:type="paragraph" w:styleId="Heading2">
    <w:name w:val="heading 2"/>
    <w:basedOn w:val="Base"/>
    <w:next w:val="BodyTextFirst"/>
    <w:link w:val="Heading2Char"/>
    <w:qFormat/>
    <w:rsid w:val="00C7181A"/>
    <w:pPr>
      <w:keepNext/>
      <w:keepLines/>
      <w:spacing w:before="360" w:after="60" w:line="276" w:lineRule="auto"/>
      <w:outlineLvl w:val="1"/>
    </w:pPr>
    <w:rPr>
      <w:rFonts w:eastAsiaTheme="majorEastAsia" w:cstheme="majorBidi"/>
      <w:b/>
      <w:bCs/>
      <w:sz w:val="24"/>
      <w:szCs w:val="26"/>
    </w:rPr>
  </w:style>
  <w:style w:type="paragraph" w:styleId="Heading3">
    <w:name w:val="heading 3"/>
    <w:basedOn w:val="Heading2"/>
    <w:next w:val="BodyTextFirst"/>
    <w:link w:val="Heading3Char"/>
    <w:qFormat/>
    <w:rsid w:val="00C7181A"/>
    <w:pPr>
      <w:spacing w:before="240"/>
      <w:outlineLvl w:val="2"/>
    </w:pPr>
    <w:rPr>
      <w:bCs w:val="0"/>
      <w:sz w:val="20"/>
    </w:rPr>
  </w:style>
  <w:style w:type="paragraph" w:styleId="Heading4">
    <w:name w:val="heading 4"/>
    <w:basedOn w:val="Normal"/>
    <w:next w:val="Normal"/>
    <w:link w:val="Heading4Char"/>
    <w:uiPriority w:val="9"/>
    <w:unhideWhenUsed/>
    <w:rsid w:val="002461F6"/>
    <w:pPr>
      <w:keepNext/>
      <w:keepLines/>
      <w:spacing w:before="200" w:line="276" w:lineRule="auto"/>
      <w:outlineLvl w:val="3"/>
    </w:pPr>
    <w:rPr>
      <w:rFonts w:asciiTheme="majorHAnsi" w:eastAsiaTheme="majorEastAsia" w:hAnsiTheme="majorHAnsi" w:cstheme="majorBidi"/>
      <w:b/>
      <w:bCs/>
      <w:i/>
      <w:iCs/>
      <w:color w:val="307FE2" w:themeColor="accent1"/>
    </w:rPr>
  </w:style>
  <w:style w:type="paragraph" w:styleId="Heading5">
    <w:name w:val="heading 5"/>
    <w:basedOn w:val="Normal"/>
    <w:next w:val="Normal"/>
    <w:link w:val="Heading5Char"/>
    <w:uiPriority w:val="9"/>
    <w:unhideWhenUsed/>
    <w:rsid w:val="002461F6"/>
    <w:pPr>
      <w:keepNext/>
      <w:keepLines/>
      <w:spacing w:before="200" w:line="276" w:lineRule="auto"/>
      <w:outlineLvl w:val="4"/>
    </w:pPr>
    <w:rPr>
      <w:rFonts w:asciiTheme="majorHAnsi" w:eastAsiaTheme="majorEastAsia" w:hAnsiTheme="majorHAnsi" w:cstheme="majorBidi"/>
      <w:color w:val="103E77" w:themeColor="accent1" w:themeShade="7F"/>
    </w:rPr>
  </w:style>
  <w:style w:type="paragraph" w:styleId="Heading6">
    <w:name w:val="heading 6"/>
    <w:basedOn w:val="Normal"/>
    <w:next w:val="Normal"/>
    <w:link w:val="Heading6Char"/>
    <w:uiPriority w:val="9"/>
    <w:unhideWhenUsed/>
    <w:rsid w:val="002461F6"/>
    <w:pPr>
      <w:keepNext/>
      <w:keepLines/>
      <w:spacing w:before="200" w:line="276" w:lineRule="auto"/>
      <w:outlineLvl w:val="5"/>
    </w:pPr>
    <w:rPr>
      <w:rFonts w:asciiTheme="majorHAnsi" w:eastAsiaTheme="majorEastAsia" w:hAnsiTheme="majorHAnsi" w:cstheme="majorBidi"/>
      <w:i/>
      <w:iCs/>
      <w:color w:val="103E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link w:val="BaseChar"/>
    <w:rsid w:val="00097FDC"/>
    <w:rPr>
      <w:sz w:val="20"/>
    </w:rPr>
  </w:style>
  <w:style w:type="character" w:customStyle="1" w:styleId="BaseChar">
    <w:name w:val="Base Char"/>
    <w:basedOn w:val="DefaultParagraphFont"/>
    <w:link w:val="Base"/>
    <w:rsid w:val="00097FDC"/>
    <w:rPr>
      <w:sz w:val="20"/>
    </w:rPr>
  </w:style>
  <w:style w:type="paragraph" w:styleId="BodyText">
    <w:name w:val="Body Text"/>
    <w:basedOn w:val="Base"/>
    <w:link w:val="BodyTextChar"/>
    <w:unhideWhenUsed/>
    <w:qFormat/>
    <w:rsid w:val="002461F6"/>
    <w:pPr>
      <w:spacing w:before="240" w:after="240"/>
    </w:pPr>
  </w:style>
  <w:style w:type="character" w:customStyle="1" w:styleId="BodyTextChar">
    <w:name w:val="Body Text Char"/>
    <w:basedOn w:val="DefaultParagraphFont"/>
    <w:link w:val="BodyText"/>
    <w:rsid w:val="001976E9"/>
    <w:rPr>
      <w:sz w:val="20"/>
    </w:rPr>
  </w:style>
  <w:style w:type="paragraph" w:customStyle="1" w:styleId="BodyTextFirst">
    <w:name w:val="Body Text First"/>
    <w:basedOn w:val="BodyText"/>
    <w:next w:val="BodyText"/>
    <w:link w:val="BodyTextFirstChar"/>
    <w:rsid w:val="002461F6"/>
    <w:pPr>
      <w:spacing w:before="0"/>
    </w:pPr>
  </w:style>
  <w:style w:type="character" w:customStyle="1" w:styleId="BodyTextFirstChar">
    <w:name w:val="Body Text First Char"/>
    <w:basedOn w:val="BodyTextChar"/>
    <w:link w:val="BodyTextFirst"/>
    <w:rsid w:val="002461F6"/>
    <w:rPr>
      <w:color w:val="000000" w:themeColor="text1"/>
      <w:sz w:val="20"/>
    </w:rPr>
  </w:style>
  <w:style w:type="numbering" w:customStyle="1" w:styleId="BulletList">
    <w:name w:val="Bullet List"/>
    <w:basedOn w:val="NoList"/>
    <w:uiPriority w:val="99"/>
    <w:rsid w:val="000D23BF"/>
    <w:pPr>
      <w:numPr>
        <w:numId w:val="1"/>
      </w:numPr>
    </w:pPr>
  </w:style>
  <w:style w:type="paragraph" w:customStyle="1" w:styleId="BulletList1">
    <w:name w:val="Bullet List 1"/>
    <w:basedOn w:val="Base"/>
    <w:link w:val="BulletList1Char"/>
    <w:uiPriority w:val="1"/>
    <w:qFormat/>
    <w:rsid w:val="000D23BF"/>
    <w:pPr>
      <w:numPr>
        <w:numId w:val="5"/>
      </w:numPr>
      <w:spacing w:before="60" w:after="60"/>
    </w:pPr>
  </w:style>
  <w:style w:type="character" w:customStyle="1" w:styleId="BulletList1Char">
    <w:name w:val="Bullet List 1 Char"/>
    <w:basedOn w:val="BaseChar"/>
    <w:link w:val="BulletList1"/>
    <w:uiPriority w:val="1"/>
    <w:rsid w:val="000D23BF"/>
    <w:rPr>
      <w:sz w:val="20"/>
    </w:rPr>
  </w:style>
  <w:style w:type="paragraph" w:customStyle="1" w:styleId="BulletList2">
    <w:name w:val="Bullet List 2"/>
    <w:basedOn w:val="BulletList1"/>
    <w:link w:val="BulletList2Char"/>
    <w:uiPriority w:val="1"/>
    <w:qFormat/>
    <w:rsid w:val="000D23BF"/>
    <w:pPr>
      <w:numPr>
        <w:ilvl w:val="1"/>
      </w:numPr>
    </w:pPr>
  </w:style>
  <w:style w:type="character" w:customStyle="1" w:styleId="BulletList2Char">
    <w:name w:val="Bullet List 2 Char"/>
    <w:basedOn w:val="BulletList1Char"/>
    <w:link w:val="BulletList2"/>
    <w:uiPriority w:val="1"/>
    <w:rsid w:val="000D23BF"/>
    <w:rPr>
      <w:sz w:val="20"/>
    </w:rPr>
  </w:style>
  <w:style w:type="paragraph" w:customStyle="1" w:styleId="BulletList3">
    <w:name w:val="Bullet List 3"/>
    <w:basedOn w:val="BulletList2"/>
    <w:link w:val="BulletList3Char"/>
    <w:uiPriority w:val="1"/>
    <w:qFormat/>
    <w:rsid w:val="000D23BF"/>
    <w:pPr>
      <w:numPr>
        <w:ilvl w:val="2"/>
      </w:numPr>
    </w:pPr>
  </w:style>
  <w:style w:type="character" w:customStyle="1" w:styleId="BulletList3Char">
    <w:name w:val="Bullet List 3 Char"/>
    <w:basedOn w:val="BulletList2Char"/>
    <w:link w:val="BulletList3"/>
    <w:uiPriority w:val="1"/>
    <w:rsid w:val="000D23BF"/>
    <w:rPr>
      <w:sz w:val="20"/>
    </w:rPr>
  </w:style>
  <w:style w:type="paragraph" w:customStyle="1" w:styleId="BulletList4">
    <w:name w:val="Bullet List 4"/>
    <w:basedOn w:val="BulletList3"/>
    <w:link w:val="BulletList4Char"/>
    <w:rsid w:val="000D23BF"/>
    <w:pPr>
      <w:numPr>
        <w:ilvl w:val="3"/>
      </w:numPr>
    </w:pPr>
  </w:style>
  <w:style w:type="character" w:customStyle="1" w:styleId="BulletList4Char">
    <w:name w:val="Bullet List 4 Char"/>
    <w:basedOn w:val="BulletList3Char"/>
    <w:link w:val="BulletList4"/>
    <w:rsid w:val="000D23BF"/>
    <w:rPr>
      <w:sz w:val="20"/>
    </w:rPr>
  </w:style>
  <w:style w:type="paragraph" w:customStyle="1" w:styleId="BulletList5">
    <w:name w:val="Bullet List 5"/>
    <w:basedOn w:val="BulletList4"/>
    <w:link w:val="BulletList5Char"/>
    <w:rsid w:val="000D23BF"/>
    <w:pPr>
      <w:numPr>
        <w:ilvl w:val="4"/>
      </w:numPr>
    </w:pPr>
  </w:style>
  <w:style w:type="character" w:customStyle="1" w:styleId="BulletList5Char">
    <w:name w:val="Bullet List 5 Char"/>
    <w:basedOn w:val="BulletList4Char"/>
    <w:link w:val="BulletList5"/>
    <w:rsid w:val="000D23BF"/>
    <w:rPr>
      <w:sz w:val="20"/>
    </w:rPr>
  </w:style>
  <w:style w:type="paragraph" w:customStyle="1" w:styleId="BulletList6">
    <w:name w:val="Bullet List 6"/>
    <w:basedOn w:val="BulletList5"/>
    <w:link w:val="BulletList6Char"/>
    <w:rsid w:val="000D23BF"/>
    <w:pPr>
      <w:numPr>
        <w:ilvl w:val="5"/>
      </w:numPr>
    </w:pPr>
  </w:style>
  <w:style w:type="character" w:customStyle="1" w:styleId="BulletList6Char">
    <w:name w:val="Bullet List 6 Char"/>
    <w:basedOn w:val="BulletList5Char"/>
    <w:link w:val="BulletList6"/>
    <w:rsid w:val="000D23BF"/>
    <w:rPr>
      <w:sz w:val="20"/>
    </w:rPr>
  </w:style>
  <w:style w:type="paragraph" w:customStyle="1" w:styleId="BulletList7">
    <w:name w:val="Bullet List 7"/>
    <w:basedOn w:val="BulletList6"/>
    <w:link w:val="BulletList7Char"/>
    <w:rsid w:val="000D23BF"/>
    <w:pPr>
      <w:numPr>
        <w:ilvl w:val="6"/>
      </w:numPr>
    </w:pPr>
  </w:style>
  <w:style w:type="character" w:customStyle="1" w:styleId="BulletList7Char">
    <w:name w:val="Bullet List 7 Char"/>
    <w:basedOn w:val="BulletList6Char"/>
    <w:link w:val="BulletList7"/>
    <w:rsid w:val="000D23BF"/>
    <w:rPr>
      <w:sz w:val="20"/>
    </w:rPr>
  </w:style>
  <w:style w:type="paragraph" w:customStyle="1" w:styleId="BulletList8">
    <w:name w:val="Bullet List 8"/>
    <w:basedOn w:val="BulletList7"/>
    <w:link w:val="BulletList8Char"/>
    <w:rsid w:val="000D23BF"/>
    <w:pPr>
      <w:numPr>
        <w:ilvl w:val="7"/>
      </w:numPr>
    </w:pPr>
  </w:style>
  <w:style w:type="character" w:customStyle="1" w:styleId="BulletList8Char">
    <w:name w:val="Bullet List 8 Char"/>
    <w:basedOn w:val="BulletList7Char"/>
    <w:link w:val="BulletList8"/>
    <w:rsid w:val="000D23BF"/>
    <w:rPr>
      <w:sz w:val="20"/>
    </w:rPr>
  </w:style>
  <w:style w:type="paragraph" w:customStyle="1" w:styleId="BulletList9">
    <w:name w:val="Bullet List 9"/>
    <w:basedOn w:val="BulletList8"/>
    <w:link w:val="BulletList9Char"/>
    <w:rsid w:val="000D23BF"/>
    <w:pPr>
      <w:numPr>
        <w:ilvl w:val="8"/>
      </w:numPr>
    </w:pPr>
  </w:style>
  <w:style w:type="character" w:customStyle="1" w:styleId="BulletList9Char">
    <w:name w:val="Bullet List 9 Char"/>
    <w:basedOn w:val="BulletList8Char"/>
    <w:link w:val="BulletList9"/>
    <w:rsid w:val="000D23BF"/>
    <w:rPr>
      <w:sz w:val="20"/>
    </w:rPr>
  </w:style>
  <w:style w:type="paragraph" w:styleId="Header">
    <w:name w:val="header"/>
    <w:basedOn w:val="Base"/>
    <w:link w:val="HeaderChar"/>
    <w:uiPriority w:val="99"/>
    <w:unhideWhenUsed/>
    <w:rsid w:val="008A72BB"/>
    <w:pPr>
      <w:pBdr>
        <w:bottom w:val="single" w:sz="2" w:space="1" w:color="auto"/>
      </w:pBdr>
      <w:tabs>
        <w:tab w:val="center" w:pos="4536"/>
        <w:tab w:val="right" w:pos="9072"/>
      </w:tabs>
    </w:pPr>
    <w:rPr>
      <w:sz w:val="16"/>
    </w:rPr>
  </w:style>
  <w:style w:type="character" w:customStyle="1" w:styleId="HeaderChar">
    <w:name w:val="Header Char"/>
    <w:basedOn w:val="DefaultParagraphFont"/>
    <w:link w:val="Header"/>
    <w:uiPriority w:val="99"/>
    <w:rsid w:val="008A72BB"/>
    <w:rPr>
      <w:sz w:val="16"/>
    </w:rPr>
  </w:style>
  <w:style w:type="character" w:customStyle="1" w:styleId="Heading1Char">
    <w:name w:val="Heading 1 Char"/>
    <w:basedOn w:val="DefaultParagraphFont"/>
    <w:link w:val="Heading1"/>
    <w:rsid w:val="00DC0B8D"/>
    <w:rPr>
      <w:rFonts w:eastAsiaTheme="majorEastAsia" w:cstheme="majorBidi"/>
      <w:b/>
      <w:bCs/>
      <w:sz w:val="32"/>
      <w:szCs w:val="28"/>
    </w:rPr>
  </w:style>
  <w:style w:type="character" w:customStyle="1" w:styleId="Heading2Char">
    <w:name w:val="Heading 2 Char"/>
    <w:basedOn w:val="DefaultParagraphFont"/>
    <w:link w:val="Heading2"/>
    <w:rsid w:val="001976E9"/>
    <w:rPr>
      <w:rFonts w:eastAsiaTheme="majorEastAsia" w:cstheme="majorBidi"/>
      <w:b/>
      <w:bCs/>
      <w:sz w:val="24"/>
      <w:szCs w:val="26"/>
    </w:rPr>
  </w:style>
  <w:style w:type="character" w:customStyle="1" w:styleId="Heading3Char">
    <w:name w:val="Heading 3 Char"/>
    <w:basedOn w:val="DefaultParagraphFont"/>
    <w:link w:val="Heading3"/>
    <w:rsid w:val="001976E9"/>
    <w:rPr>
      <w:rFonts w:eastAsiaTheme="majorEastAsia" w:cstheme="majorBidi"/>
      <w:b/>
      <w:sz w:val="20"/>
      <w:szCs w:val="26"/>
    </w:rPr>
  </w:style>
  <w:style w:type="character" w:customStyle="1" w:styleId="Heading4Char">
    <w:name w:val="Heading 4 Char"/>
    <w:basedOn w:val="DefaultParagraphFont"/>
    <w:link w:val="Heading4"/>
    <w:uiPriority w:val="9"/>
    <w:rsid w:val="002461F6"/>
    <w:rPr>
      <w:rFonts w:asciiTheme="majorHAnsi" w:eastAsiaTheme="majorEastAsia" w:hAnsiTheme="majorHAnsi" w:cstheme="majorBidi"/>
      <w:b/>
      <w:bCs/>
      <w:i/>
      <w:iCs/>
      <w:color w:val="307FE2" w:themeColor="accent1"/>
    </w:rPr>
  </w:style>
  <w:style w:type="character" w:customStyle="1" w:styleId="Heading5Char">
    <w:name w:val="Heading 5 Char"/>
    <w:basedOn w:val="DefaultParagraphFont"/>
    <w:link w:val="Heading5"/>
    <w:uiPriority w:val="9"/>
    <w:rsid w:val="002461F6"/>
    <w:rPr>
      <w:rFonts w:asciiTheme="majorHAnsi" w:eastAsiaTheme="majorEastAsia" w:hAnsiTheme="majorHAnsi" w:cstheme="majorBidi"/>
      <w:color w:val="103E77" w:themeColor="accent1" w:themeShade="7F"/>
    </w:rPr>
  </w:style>
  <w:style w:type="character" w:customStyle="1" w:styleId="Heading6Char">
    <w:name w:val="Heading 6 Char"/>
    <w:basedOn w:val="DefaultParagraphFont"/>
    <w:link w:val="Heading6"/>
    <w:uiPriority w:val="9"/>
    <w:rsid w:val="002461F6"/>
    <w:rPr>
      <w:rFonts w:asciiTheme="majorHAnsi" w:eastAsiaTheme="majorEastAsia" w:hAnsiTheme="majorHAnsi" w:cstheme="majorBidi"/>
      <w:i/>
      <w:iCs/>
      <w:color w:val="103E77" w:themeColor="accent1" w:themeShade="7F"/>
    </w:rPr>
  </w:style>
  <w:style w:type="paragraph" w:customStyle="1" w:styleId="Introduction">
    <w:name w:val="Introduction"/>
    <w:basedOn w:val="Base"/>
    <w:link w:val="IntroductionChar"/>
    <w:qFormat/>
    <w:rsid w:val="00C3589E"/>
    <w:pPr>
      <w:spacing w:before="240" w:after="240"/>
    </w:pPr>
    <w:rPr>
      <w:sz w:val="24"/>
    </w:rPr>
  </w:style>
  <w:style w:type="character" w:customStyle="1" w:styleId="IntroductionChar">
    <w:name w:val="Introduction Char"/>
    <w:basedOn w:val="BaseChar"/>
    <w:link w:val="Introduction"/>
    <w:rsid w:val="00C3589E"/>
    <w:rPr>
      <w:sz w:val="24"/>
    </w:rPr>
  </w:style>
  <w:style w:type="paragraph" w:styleId="Footer">
    <w:name w:val="footer"/>
    <w:basedOn w:val="Base"/>
    <w:link w:val="FooterChar"/>
    <w:uiPriority w:val="99"/>
    <w:unhideWhenUsed/>
    <w:rsid w:val="00E82EC1"/>
    <w:pPr>
      <w:pBdr>
        <w:top w:val="single" w:sz="2" w:space="4" w:color="auto"/>
      </w:pBdr>
      <w:tabs>
        <w:tab w:val="center" w:pos="4536"/>
        <w:tab w:val="right" w:pos="9072"/>
      </w:tabs>
    </w:pPr>
    <w:rPr>
      <w:sz w:val="16"/>
    </w:rPr>
  </w:style>
  <w:style w:type="character" w:customStyle="1" w:styleId="FooterChar">
    <w:name w:val="Footer Char"/>
    <w:basedOn w:val="DefaultParagraphFont"/>
    <w:link w:val="Footer"/>
    <w:uiPriority w:val="99"/>
    <w:rsid w:val="00E82EC1"/>
    <w:rPr>
      <w:sz w:val="16"/>
    </w:rPr>
  </w:style>
  <w:style w:type="numbering" w:customStyle="1" w:styleId="NumberedList">
    <w:name w:val="Numbered List"/>
    <w:basedOn w:val="NoList"/>
    <w:uiPriority w:val="99"/>
    <w:rsid w:val="009306A0"/>
    <w:pPr>
      <w:numPr>
        <w:numId w:val="2"/>
      </w:numPr>
    </w:pPr>
  </w:style>
  <w:style w:type="paragraph" w:customStyle="1" w:styleId="NumberedList1">
    <w:name w:val="Numbered List 1"/>
    <w:basedOn w:val="Base"/>
    <w:qFormat/>
    <w:rsid w:val="009306A0"/>
    <w:pPr>
      <w:numPr>
        <w:numId w:val="2"/>
      </w:numPr>
      <w:spacing w:before="60" w:after="60"/>
    </w:pPr>
    <w:rPr>
      <w:rFonts w:eastAsia="Times New Roman"/>
      <w:szCs w:val="24"/>
      <w:lang w:eastAsia="en-GB"/>
    </w:rPr>
  </w:style>
  <w:style w:type="paragraph" w:customStyle="1" w:styleId="NumberedList2">
    <w:name w:val="Numbered List 2"/>
    <w:basedOn w:val="NumberedList1"/>
    <w:qFormat/>
    <w:rsid w:val="009306A0"/>
    <w:pPr>
      <w:numPr>
        <w:ilvl w:val="1"/>
      </w:numPr>
    </w:pPr>
  </w:style>
  <w:style w:type="paragraph" w:customStyle="1" w:styleId="NumberedList3">
    <w:name w:val="Numbered List 3"/>
    <w:basedOn w:val="NumberedList2"/>
    <w:qFormat/>
    <w:rsid w:val="009306A0"/>
    <w:pPr>
      <w:numPr>
        <w:ilvl w:val="2"/>
      </w:numPr>
    </w:pPr>
  </w:style>
  <w:style w:type="paragraph" w:customStyle="1" w:styleId="NumberedList4">
    <w:name w:val="Numbered List 4"/>
    <w:basedOn w:val="NumberedList3"/>
    <w:rsid w:val="009306A0"/>
    <w:pPr>
      <w:numPr>
        <w:ilvl w:val="3"/>
      </w:numPr>
    </w:pPr>
  </w:style>
  <w:style w:type="paragraph" w:customStyle="1" w:styleId="NumberedList5">
    <w:name w:val="Numbered List 5"/>
    <w:basedOn w:val="NumberedList4"/>
    <w:rsid w:val="009306A0"/>
    <w:pPr>
      <w:numPr>
        <w:ilvl w:val="4"/>
      </w:numPr>
    </w:pPr>
  </w:style>
  <w:style w:type="paragraph" w:customStyle="1" w:styleId="NumberedList6">
    <w:name w:val="Numbered List 6"/>
    <w:basedOn w:val="NumberedList5"/>
    <w:rsid w:val="009306A0"/>
    <w:pPr>
      <w:numPr>
        <w:ilvl w:val="5"/>
      </w:numPr>
    </w:pPr>
  </w:style>
  <w:style w:type="paragraph" w:customStyle="1" w:styleId="NumberedList7">
    <w:name w:val="Numbered List 7"/>
    <w:basedOn w:val="NumberedList6"/>
    <w:rsid w:val="009306A0"/>
    <w:pPr>
      <w:numPr>
        <w:ilvl w:val="6"/>
      </w:numPr>
    </w:pPr>
  </w:style>
  <w:style w:type="paragraph" w:customStyle="1" w:styleId="NumberedList8">
    <w:name w:val="Numbered List 8"/>
    <w:basedOn w:val="NumberedList7"/>
    <w:rsid w:val="009306A0"/>
    <w:pPr>
      <w:numPr>
        <w:ilvl w:val="7"/>
      </w:numPr>
    </w:pPr>
  </w:style>
  <w:style w:type="paragraph" w:customStyle="1" w:styleId="NumberedList9">
    <w:name w:val="Numbered List 9"/>
    <w:basedOn w:val="NumberedList8"/>
    <w:rsid w:val="009306A0"/>
    <w:pPr>
      <w:numPr>
        <w:ilvl w:val="8"/>
      </w:numPr>
    </w:pPr>
  </w:style>
  <w:style w:type="table" w:styleId="TableGrid">
    <w:name w:val="Table Grid"/>
    <w:basedOn w:val="TableNormal"/>
    <w:uiPriority w:val="39"/>
    <w:rsid w:val="0027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Base"/>
    <w:rsid w:val="003A440D"/>
    <w:pPr>
      <w:keepNext/>
      <w:keepLines/>
      <w:numPr>
        <w:numId w:val="7"/>
      </w:numPr>
      <w:spacing w:before="240" w:after="240"/>
    </w:pPr>
    <w:rPr>
      <w:b/>
    </w:rPr>
  </w:style>
  <w:style w:type="paragraph" w:customStyle="1" w:styleId="TableNote">
    <w:name w:val="Table Note"/>
    <w:basedOn w:val="Base"/>
    <w:next w:val="BodyText"/>
    <w:link w:val="TableNoteChar"/>
    <w:uiPriority w:val="1"/>
    <w:qFormat/>
    <w:rsid w:val="00E95720"/>
    <w:pPr>
      <w:spacing w:before="120" w:after="120"/>
    </w:pPr>
    <w:rPr>
      <w:sz w:val="16"/>
    </w:rPr>
  </w:style>
  <w:style w:type="character" w:customStyle="1" w:styleId="TableNoteChar">
    <w:name w:val="Table Note Char"/>
    <w:basedOn w:val="BaseChar"/>
    <w:link w:val="TableNote"/>
    <w:uiPriority w:val="1"/>
    <w:rsid w:val="008A027A"/>
    <w:rPr>
      <w:sz w:val="16"/>
    </w:rPr>
  </w:style>
  <w:style w:type="paragraph" w:customStyle="1" w:styleId="TableCaption">
    <w:name w:val="Table Caption"/>
    <w:basedOn w:val="Base"/>
    <w:next w:val="BodyText"/>
    <w:link w:val="TableCaptionChar"/>
    <w:uiPriority w:val="3"/>
    <w:qFormat/>
    <w:rsid w:val="001A10B8"/>
    <w:pPr>
      <w:keepNext/>
      <w:keepLines/>
      <w:numPr>
        <w:numId w:val="3"/>
      </w:numPr>
      <w:spacing w:before="240" w:after="120"/>
    </w:pPr>
    <w:rPr>
      <w:b/>
      <w:sz w:val="18"/>
    </w:rPr>
  </w:style>
  <w:style w:type="character" w:customStyle="1" w:styleId="TableCaptionChar">
    <w:name w:val="Table Caption Char"/>
    <w:basedOn w:val="BaseChar"/>
    <w:link w:val="TableCaption"/>
    <w:uiPriority w:val="3"/>
    <w:rsid w:val="001976E9"/>
    <w:rPr>
      <w:b/>
      <w:sz w:val="18"/>
    </w:rPr>
  </w:style>
  <w:style w:type="paragraph" w:customStyle="1" w:styleId="Legal2">
    <w:name w:val="Legal 2"/>
    <w:basedOn w:val="Legal1"/>
    <w:rsid w:val="003A440D"/>
    <w:pPr>
      <w:keepNext w:val="0"/>
      <w:keepLines w:val="0"/>
      <w:numPr>
        <w:ilvl w:val="1"/>
      </w:numPr>
    </w:pPr>
    <w:rPr>
      <w:b w:val="0"/>
    </w:rPr>
  </w:style>
  <w:style w:type="paragraph" w:customStyle="1" w:styleId="Legal3">
    <w:name w:val="Legal 3"/>
    <w:basedOn w:val="Legal2"/>
    <w:rsid w:val="003A440D"/>
    <w:pPr>
      <w:numPr>
        <w:ilvl w:val="2"/>
      </w:numPr>
    </w:pPr>
  </w:style>
  <w:style w:type="paragraph" w:customStyle="1" w:styleId="Legal4">
    <w:name w:val="Legal 4"/>
    <w:basedOn w:val="Legal3"/>
    <w:rsid w:val="003A440D"/>
    <w:pPr>
      <w:numPr>
        <w:ilvl w:val="3"/>
      </w:numPr>
    </w:pPr>
  </w:style>
  <w:style w:type="paragraph" w:customStyle="1" w:styleId="Legal5">
    <w:name w:val="Legal 5"/>
    <w:basedOn w:val="Legal4"/>
    <w:rsid w:val="003A440D"/>
    <w:pPr>
      <w:numPr>
        <w:ilvl w:val="4"/>
      </w:numPr>
    </w:pPr>
  </w:style>
  <w:style w:type="paragraph" w:customStyle="1" w:styleId="Legal6">
    <w:name w:val="Legal 6"/>
    <w:basedOn w:val="Legal5"/>
    <w:rsid w:val="003A440D"/>
    <w:pPr>
      <w:numPr>
        <w:ilvl w:val="5"/>
      </w:numPr>
    </w:pPr>
  </w:style>
  <w:style w:type="paragraph" w:customStyle="1" w:styleId="Legal7">
    <w:name w:val="Legal 7"/>
    <w:basedOn w:val="Legal6"/>
    <w:rsid w:val="003A440D"/>
    <w:pPr>
      <w:numPr>
        <w:ilvl w:val="6"/>
      </w:numPr>
    </w:pPr>
  </w:style>
  <w:style w:type="paragraph" w:customStyle="1" w:styleId="Legal8">
    <w:name w:val="Legal 8"/>
    <w:basedOn w:val="Legal7"/>
    <w:rsid w:val="003A440D"/>
    <w:pPr>
      <w:numPr>
        <w:ilvl w:val="7"/>
      </w:numPr>
    </w:pPr>
  </w:style>
  <w:style w:type="paragraph" w:customStyle="1" w:styleId="Legal9">
    <w:name w:val="Legal 9"/>
    <w:basedOn w:val="Legal8"/>
    <w:rsid w:val="003A440D"/>
    <w:pPr>
      <w:numPr>
        <w:ilvl w:val="8"/>
      </w:numPr>
    </w:pPr>
  </w:style>
  <w:style w:type="numbering" w:customStyle="1" w:styleId="Legal">
    <w:name w:val="Legal"/>
    <w:basedOn w:val="NoList"/>
    <w:uiPriority w:val="99"/>
    <w:rsid w:val="003A440D"/>
    <w:pPr>
      <w:numPr>
        <w:numId w:val="6"/>
      </w:numPr>
    </w:pPr>
  </w:style>
  <w:style w:type="paragraph" w:styleId="BalloonText">
    <w:name w:val="Balloon Text"/>
    <w:basedOn w:val="Normal"/>
    <w:link w:val="BalloonTextChar"/>
    <w:uiPriority w:val="99"/>
    <w:semiHidden/>
    <w:unhideWhenUsed/>
    <w:rsid w:val="00AE38EC"/>
    <w:rPr>
      <w:rFonts w:ascii="Segoe UI" w:hAnsi="Segoe UI" w:cs="Segoe UI"/>
      <w:sz w:val="18"/>
      <w:szCs w:val="18"/>
    </w:rPr>
  </w:style>
  <w:style w:type="paragraph" w:styleId="Title">
    <w:name w:val="Title"/>
    <w:basedOn w:val="Base"/>
    <w:next w:val="BodyText"/>
    <w:link w:val="TitleChar"/>
    <w:uiPriority w:val="10"/>
    <w:rsid w:val="00DF2BBD"/>
    <w:pPr>
      <w:spacing w:line="216" w:lineRule="auto"/>
      <w:ind w:right="1701"/>
      <w:contextualSpacing/>
    </w:pPr>
    <w:rPr>
      <w:rFonts w:asciiTheme="majorHAnsi" w:eastAsiaTheme="majorEastAsia" w:hAnsiTheme="majorHAnsi" w:cstheme="majorBidi"/>
      <w:caps/>
      <w:spacing w:val="-10"/>
      <w:kern w:val="28"/>
      <w:sz w:val="40"/>
      <w:szCs w:val="56"/>
    </w:rPr>
  </w:style>
  <w:style w:type="character" w:customStyle="1" w:styleId="TitleChar">
    <w:name w:val="Title Char"/>
    <w:basedOn w:val="DefaultParagraphFont"/>
    <w:link w:val="Title"/>
    <w:uiPriority w:val="10"/>
    <w:rsid w:val="00DF2BBD"/>
    <w:rPr>
      <w:rFonts w:asciiTheme="majorHAnsi" w:eastAsiaTheme="majorEastAsia" w:hAnsiTheme="majorHAnsi" w:cstheme="majorBidi"/>
      <w:caps/>
      <w:spacing w:val="-10"/>
      <w:kern w:val="28"/>
      <w:sz w:val="40"/>
      <w:szCs w:val="56"/>
    </w:rPr>
  </w:style>
  <w:style w:type="character" w:customStyle="1" w:styleId="BalloonTextChar">
    <w:name w:val="Balloon Text Char"/>
    <w:basedOn w:val="DefaultParagraphFont"/>
    <w:link w:val="BalloonText"/>
    <w:uiPriority w:val="99"/>
    <w:semiHidden/>
    <w:rsid w:val="00AE38EC"/>
    <w:rPr>
      <w:rFonts w:ascii="Segoe UI" w:hAnsi="Segoe UI" w:cs="Segoe UI"/>
      <w:sz w:val="18"/>
      <w:szCs w:val="18"/>
    </w:rPr>
  </w:style>
  <w:style w:type="table" w:customStyle="1" w:styleId="RedingtonTable">
    <w:name w:val="Redington Table"/>
    <w:basedOn w:val="TableNormal"/>
    <w:uiPriority w:val="99"/>
    <w:rsid w:val="0031145D"/>
    <w:pPr>
      <w:spacing w:after="0" w:line="240" w:lineRule="auto"/>
    </w:pPr>
    <w:rPr>
      <w:sz w:val="20"/>
    </w:rPr>
    <w:tblPr>
      <w:tblStyleRowBandSize w:val="1"/>
      <w:tblBorders>
        <w:top w:val="single" w:sz="4" w:space="0" w:color="D3D7DA" w:themeColor="background2"/>
        <w:left w:val="single" w:sz="4" w:space="0" w:color="D3D7DA" w:themeColor="background2"/>
        <w:bottom w:val="single" w:sz="4" w:space="0" w:color="D3D7DA" w:themeColor="background2"/>
        <w:right w:val="single" w:sz="4" w:space="0" w:color="D3D7DA" w:themeColor="background2"/>
        <w:insideH w:val="single" w:sz="4" w:space="0" w:color="D3D7DA" w:themeColor="background2"/>
        <w:insideV w:val="single" w:sz="4" w:space="0" w:color="D3D7DA" w:themeColor="background2"/>
      </w:tblBorders>
      <w:tblCellMar>
        <w:top w:w="57" w:type="dxa"/>
        <w:bottom w:w="57" w:type="dxa"/>
      </w:tblCellMar>
    </w:tblPr>
    <w:trPr>
      <w:cantSplit/>
    </w:trPr>
    <w:tblStylePr w:type="firstRow">
      <w:rPr>
        <w:b/>
        <w:color w:val="FFFFFF" w:themeColor="background1"/>
      </w:rPr>
      <w:tblPr/>
      <w:tcPr>
        <w:tcBorders>
          <w:top w:val="single" w:sz="4" w:space="0" w:color="FFFFFF" w:themeColor="background1"/>
          <w:left w:val="nil"/>
          <w:bottom w:val="single" w:sz="4" w:space="0" w:color="FFFFFF" w:themeColor="background1"/>
          <w:right w:val="nil"/>
          <w:insideH w:val="single" w:sz="4" w:space="0" w:color="E90A5B" w:themeColor="text2"/>
          <w:insideV w:val="single" w:sz="4" w:space="0" w:color="FFFFFF" w:themeColor="background1"/>
        </w:tcBorders>
        <w:shd w:val="clear" w:color="auto" w:fill="E90A5B" w:themeFill="text2"/>
      </w:tcPr>
    </w:tblStylePr>
    <w:tblStylePr w:type="lastRow">
      <w:rPr>
        <w:b/>
      </w:rPr>
      <w:tblPr/>
      <w:tcPr>
        <w:tcBorders>
          <w:top w:val="single" w:sz="4" w:space="0" w:color="000000" w:themeColor="text1"/>
          <w:bottom w:val="single" w:sz="4" w:space="0" w:color="000000" w:themeColor="text1"/>
        </w:tcBorders>
      </w:tcPr>
    </w:tblStylePr>
    <w:tblStylePr w:type="firstCol">
      <w:tblPr/>
      <w:tcPr>
        <w:tcBorders>
          <w:insideH w:val="single" w:sz="4" w:space="0" w:color="FFFFFF" w:themeColor="background1"/>
        </w:tcBorders>
        <w:shd w:val="clear" w:color="auto" w:fill="D3D7DA" w:themeFill="background2"/>
      </w:tcPr>
    </w:tblStylePr>
    <w:tblStylePr w:type="band2Horz">
      <w:tblPr/>
      <w:tcPr>
        <w:shd w:val="clear" w:color="auto" w:fill="E9EBEC"/>
      </w:tcPr>
    </w:tblStylePr>
  </w:style>
  <w:style w:type="paragraph" w:styleId="NormalWeb">
    <w:name w:val="Normal (Web)"/>
    <w:basedOn w:val="Normal"/>
    <w:uiPriority w:val="99"/>
    <w:unhideWhenUsed/>
    <w:rsid w:val="008C60D1"/>
    <w:pPr>
      <w:spacing w:before="100" w:beforeAutospacing="1" w:after="100" w:afterAutospacing="1"/>
    </w:pPr>
    <w:rPr>
      <w:rFonts w:ascii="Times New Roman" w:eastAsia="Times New Roman" w:hAnsi="Times New Roman"/>
      <w:sz w:val="24"/>
      <w:szCs w:val="24"/>
      <w:lang w:eastAsia="en-GB"/>
    </w:rPr>
  </w:style>
  <w:style w:type="paragraph" w:customStyle="1" w:styleId="CalloutQuote">
    <w:name w:val="Callout Quote"/>
    <w:basedOn w:val="Base"/>
    <w:next w:val="CalloutQuoteSource"/>
    <w:uiPriority w:val="2"/>
    <w:qFormat/>
    <w:rsid w:val="000D23BF"/>
    <w:pPr>
      <w:pBdr>
        <w:top w:val="single" w:sz="8" w:space="12" w:color="307FE2" w:themeColor="accent1"/>
        <w:bottom w:val="single" w:sz="8" w:space="12" w:color="307FE2" w:themeColor="accent1"/>
      </w:pBdr>
      <w:spacing w:after="120"/>
      <w:ind w:left="1134" w:right="1134"/>
    </w:pPr>
    <w:rPr>
      <w:rFonts w:cstheme="minorHAnsi"/>
      <w:i/>
      <w:iCs/>
      <w:color w:val="E90A5B" w:themeColor="text2"/>
      <w:kern w:val="24"/>
      <w:sz w:val="28"/>
      <w:szCs w:val="28"/>
      <w:lang w:val="en-AU"/>
    </w:rPr>
  </w:style>
  <w:style w:type="paragraph" w:customStyle="1" w:styleId="CalloutQuoteSource">
    <w:name w:val="Callout Quote Source"/>
    <w:basedOn w:val="Base"/>
    <w:next w:val="BodyText"/>
    <w:rsid w:val="000D23BF"/>
    <w:pPr>
      <w:pBdr>
        <w:top w:val="single" w:sz="8" w:space="12" w:color="307FE2" w:themeColor="accent1"/>
        <w:bottom w:val="single" w:sz="8" w:space="12" w:color="307FE2" w:themeColor="accent1"/>
      </w:pBdr>
      <w:spacing w:after="120"/>
      <w:ind w:left="1134" w:right="1134"/>
      <w:jc w:val="right"/>
    </w:pPr>
    <w:rPr>
      <w:rFonts w:cstheme="minorHAnsi"/>
      <w:bCs/>
      <w:kern w:val="24"/>
      <w:sz w:val="24"/>
    </w:rPr>
  </w:style>
  <w:style w:type="paragraph" w:customStyle="1" w:styleId="FigureCaption">
    <w:name w:val="Figure Caption"/>
    <w:basedOn w:val="TableCaption"/>
    <w:next w:val="BodyText"/>
    <w:link w:val="FigureCaptionChar"/>
    <w:uiPriority w:val="3"/>
    <w:qFormat/>
    <w:rsid w:val="008401C8"/>
    <w:pPr>
      <w:numPr>
        <w:numId w:val="4"/>
      </w:numPr>
    </w:pPr>
  </w:style>
  <w:style w:type="character" w:customStyle="1" w:styleId="FigureCaptionChar">
    <w:name w:val="Figure Caption Char"/>
    <w:basedOn w:val="TableCaptionChar"/>
    <w:link w:val="FigureCaption"/>
    <w:uiPriority w:val="3"/>
    <w:rsid w:val="001976E9"/>
    <w:rPr>
      <w:b/>
      <w:sz w:val="18"/>
    </w:rPr>
  </w:style>
  <w:style w:type="paragraph" w:customStyle="1" w:styleId="TableBullet">
    <w:name w:val="Table Bullet"/>
    <w:basedOn w:val="BulletList1"/>
    <w:link w:val="TableBulletChar"/>
    <w:uiPriority w:val="1"/>
    <w:qFormat/>
    <w:rsid w:val="003A6387"/>
    <w:pPr>
      <w:spacing w:before="0" w:after="0"/>
    </w:pPr>
  </w:style>
  <w:style w:type="character" w:customStyle="1" w:styleId="TableBulletChar">
    <w:name w:val="Table Bullet Char"/>
    <w:basedOn w:val="BulletList1Char"/>
    <w:link w:val="TableBullet"/>
    <w:uiPriority w:val="1"/>
    <w:rsid w:val="008A027A"/>
    <w:rPr>
      <w:sz w:val="20"/>
    </w:rPr>
  </w:style>
  <w:style w:type="paragraph" w:customStyle="1" w:styleId="FooterA4Portrait">
    <w:name w:val="Footer A4 Portrait"/>
    <w:basedOn w:val="Footer"/>
    <w:link w:val="FooterA4PortraitChar"/>
    <w:rsid w:val="005A69AF"/>
  </w:style>
  <w:style w:type="character" w:customStyle="1" w:styleId="FooterA4PortraitChar">
    <w:name w:val="Footer A4 Portrait Char"/>
    <w:basedOn w:val="FooterChar"/>
    <w:link w:val="FooterA4Portrait"/>
    <w:rsid w:val="005A69AF"/>
    <w:rPr>
      <w:sz w:val="16"/>
    </w:rPr>
  </w:style>
  <w:style w:type="paragraph" w:customStyle="1" w:styleId="FooterA4Landscape">
    <w:name w:val="Footer A4 Landscape"/>
    <w:basedOn w:val="FooterA4Portrait"/>
    <w:link w:val="FooterA4LandscapeChar"/>
    <w:rsid w:val="005A69AF"/>
    <w:pPr>
      <w:tabs>
        <w:tab w:val="clear" w:pos="4536"/>
        <w:tab w:val="clear" w:pos="9072"/>
        <w:tab w:val="center" w:pos="7002"/>
        <w:tab w:val="right" w:pos="14005"/>
      </w:tabs>
    </w:pPr>
  </w:style>
  <w:style w:type="character" w:customStyle="1" w:styleId="FooterA4LandscapeChar">
    <w:name w:val="Footer A4 Landscape Char"/>
    <w:basedOn w:val="FooterA4PortraitChar"/>
    <w:link w:val="FooterA4Landscape"/>
    <w:rsid w:val="005A69AF"/>
    <w:rPr>
      <w:sz w:val="16"/>
    </w:rPr>
  </w:style>
  <w:style w:type="paragraph" w:customStyle="1" w:styleId="HeaderA4Portrait">
    <w:name w:val="Header A4 Portrait"/>
    <w:basedOn w:val="Header"/>
    <w:link w:val="HeaderA4PortraitChar"/>
    <w:rsid w:val="005A69AF"/>
  </w:style>
  <w:style w:type="character" w:customStyle="1" w:styleId="HeaderA4PortraitChar">
    <w:name w:val="Header A4 Portrait Char"/>
    <w:basedOn w:val="HeaderChar"/>
    <w:link w:val="HeaderA4Portrait"/>
    <w:rsid w:val="005A69AF"/>
    <w:rPr>
      <w:sz w:val="16"/>
    </w:rPr>
  </w:style>
  <w:style w:type="paragraph" w:customStyle="1" w:styleId="HeaderA4Landscape">
    <w:name w:val="Header A4 Landscape"/>
    <w:basedOn w:val="HeaderA4Portrait"/>
    <w:link w:val="HeaderA4LandscapeChar"/>
    <w:rsid w:val="005A69AF"/>
    <w:pPr>
      <w:tabs>
        <w:tab w:val="clear" w:pos="4536"/>
        <w:tab w:val="clear" w:pos="9072"/>
        <w:tab w:val="center" w:pos="7002"/>
        <w:tab w:val="right" w:pos="14005"/>
      </w:tabs>
    </w:pPr>
  </w:style>
  <w:style w:type="character" w:customStyle="1" w:styleId="HeaderA4LandscapeChar">
    <w:name w:val="Header A4 Landscape Char"/>
    <w:basedOn w:val="HeaderA4PortraitChar"/>
    <w:link w:val="HeaderA4Landscape"/>
    <w:rsid w:val="005A69AF"/>
    <w:rPr>
      <w:sz w:val="16"/>
    </w:rPr>
  </w:style>
  <w:style w:type="paragraph" w:styleId="FootnoteText">
    <w:name w:val="footnote text"/>
    <w:basedOn w:val="Base"/>
    <w:link w:val="FootnoteTextChar"/>
    <w:uiPriority w:val="99"/>
    <w:semiHidden/>
    <w:unhideWhenUsed/>
    <w:rsid w:val="005318CD"/>
    <w:rPr>
      <w:sz w:val="16"/>
      <w:szCs w:val="20"/>
    </w:rPr>
  </w:style>
  <w:style w:type="paragraph" w:customStyle="1" w:styleId="Disclaimer">
    <w:name w:val="Disclaimer"/>
    <w:basedOn w:val="Base"/>
    <w:link w:val="DisclaimerChar"/>
    <w:uiPriority w:val="2"/>
    <w:qFormat/>
    <w:rsid w:val="00475E81"/>
    <w:pPr>
      <w:spacing w:before="120" w:after="120"/>
    </w:pPr>
    <w:rPr>
      <w:sz w:val="16"/>
    </w:rPr>
  </w:style>
  <w:style w:type="character" w:customStyle="1" w:styleId="DisclaimerChar">
    <w:name w:val="Disclaimer Char"/>
    <w:basedOn w:val="BaseChar"/>
    <w:link w:val="Disclaimer"/>
    <w:uiPriority w:val="2"/>
    <w:rsid w:val="001976E9"/>
    <w:rPr>
      <w:sz w:val="16"/>
    </w:rPr>
  </w:style>
  <w:style w:type="character" w:customStyle="1" w:styleId="FootnoteTextChar">
    <w:name w:val="Footnote Text Char"/>
    <w:basedOn w:val="DefaultParagraphFont"/>
    <w:link w:val="FootnoteText"/>
    <w:uiPriority w:val="99"/>
    <w:semiHidden/>
    <w:rsid w:val="00D617AC"/>
    <w:rPr>
      <w:sz w:val="16"/>
      <w:szCs w:val="20"/>
    </w:rPr>
  </w:style>
  <w:style w:type="character" w:styleId="FootnoteReference">
    <w:name w:val="footnote reference"/>
    <w:basedOn w:val="DefaultParagraphFont"/>
    <w:uiPriority w:val="99"/>
    <w:semiHidden/>
    <w:unhideWhenUsed/>
    <w:rsid w:val="005318CD"/>
    <w:rPr>
      <w:vertAlign w:val="superscript"/>
    </w:rPr>
  </w:style>
  <w:style w:type="paragraph" w:styleId="EndnoteText">
    <w:name w:val="endnote text"/>
    <w:basedOn w:val="Base"/>
    <w:link w:val="EndnoteTextChar"/>
    <w:uiPriority w:val="99"/>
    <w:semiHidden/>
    <w:unhideWhenUsed/>
    <w:rsid w:val="004722FE"/>
    <w:rPr>
      <w:sz w:val="16"/>
      <w:szCs w:val="20"/>
    </w:rPr>
  </w:style>
  <w:style w:type="numbering" w:customStyle="1" w:styleId="TableCaptionNumber">
    <w:name w:val="Table Caption Number"/>
    <w:basedOn w:val="NoList"/>
    <w:uiPriority w:val="99"/>
    <w:rsid w:val="001C574E"/>
    <w:pPr>
      <w:numPr>
        <w:numId w:val="3"/>
      </w:numPr>
    </w:pPr>
  </w:style>
  <w:style w:type="character" w:customStyle="1" w:styleId="EndnoteTextChar">
    <w:name w:val="Endnote Text Char"/>
    <w:basedOn w:val="DefaultParagraphFont"/>
    <w:link w:val="EndnoteText"/>
    <w:uiPriority w:val="99"/>
    <w:semiHidden/>
    <w:rsid w:val="00D617AC"/>
    <w:rPr>
      <w:sz w:val="16"/>
      <w:szCs w:val="20"/>
    </w:rPr>
  </w:style>
  <w:style w:type="character" w:styleId="EndnoteReference">
    <w:name w:val="endnote reference"/>
    <w:basedOn w:val="DefaultParagraphFont"/>
    <w:uiPriority w:val="99"/>
    <w:semiHidden/>
    <w:unhideWhenUsed/>
    <w:rsid w:val="004722FE"/>
    <w:rPr>
      <w:vertAlign w:val="superscript"/>
    </w:rPr>
  </w:style>
  <w:style w:type="numbering" w:customStyle="1" w:styleId="FigureCaptionNumber">
    <w:name w:val="Figure Caption Number"/>
    <w:basedOn w:val="NoList"/>
    <w:uiPriority w:val="99"/>
    <w:rsid w:val="001C574E"/>
    <w:pPr>
      <w:numPr>
        <w:numId w:val="4"/>
      </w:numPr>
    </w:pPr>
  </w:style>
  <w:style w:type="paragraph" w:styleId="Subtitle">
    <w:name w:val="Subtitle"/>
    <w:basedOn w:val="Base"/>
    <w:link w:val="SubtitleChar"/>
    <w:uiPriority w:val="11"/>
    <w:rsid w:val="000A5A31"/>
    <w:pPr>
      <w:numPr>
        <w:ilvl w:val="1"/>
      </w:numPr>
      <w:spacing w:before="120" w:after="120"/>
    </w:pPr>
    <w:rPr>
      <w:rFonts w:eastAsiaTheme="minorEastAsia"/>
      <w:b/>
      <w:sz w:val="24"/>
    </w:rPr>
  </w:style>
  <w:style w:type="character" w:customStyle="1" w:styleId="SubtitleChar">
    <w:name w:val="Subtitle Char"/>
    <w:basedOn w:val="DefaultParagraphFont"/>
    <w:link w:val="Subtitle"/>
    <w:uiPriority w:val="11"/>
    <w:rsid w:val="000A5A31"/>
    <w:rPr>
      <w:rFonts w:eastAsiaTheme="minorEastAsia"/>
      <w:b/>
      <w:sz w:val="24"/>
    </w:rPr>
  </w:style>
  <w:style w:type="paragraph" w:customStyle="1" w:styleId="JobTitle">
    <w:name w:val="Job Title"/>
    <w:basedOn w:val="Normal"/>
    <w:rsid w:val="005438A4"/>
    <w:pPr>
      <w:spacing w:after="120" w:line="293" w:lineRule="auto"/>
    </w:pPr>
    <w:rPr>
      <w:sz w:val="20"/>
    </w:rPr>
  </w:style>
  <w:style w:type="paragraph" w:customStyle="1" w:styleId="Profilename">
    <w:name w:val="Profile name"/>
    <w:basedOn w:val="Normal"/>
    <w:rsid w:val="005438A4"/>
    <w:pPr>
      <w:spacing w:line="293" w:lineRule="auto"/>
    </w:pPr>
    <w:rPr>
      <w:b/>
      <w:sz w:val="24"/>
    </w:rPr>
  </w:style>
  <w:style w:type="paragraph" w:customStyle="1" w:styleId="Photo">
    <w:name w:val="Photo"/>
    <w:basedOn w:val="Normal"/>
    <w:rsid w:val="005438A4"/>
    <w:rPr>
      <w:rFonts w:ascii="Franklin Gothic Book" w:hAnsi="Franklin Gothic Book"/>
      <w:color w:val="333333"/>
      <w:sz w:val="20"/>
    </w:rPr>
  </w:style>
  <w:style w:type="paragraph" w:customStyle="1" w:styleId="Spacer">
    <w:name w:val="Spacer"/>
    <w:basedOn w:val="Normal"/>
    <w:rsid w:val="005438A4"/>
    <w:rPr>
      <w:sz w:val="2"/>
    </w:rPr>
  </w:style>
  <w:style w:type="paragraph" w:customStyle="1" w:styleId="PinkBar">
    <w:name w:val="Pink Bar"/>
    <w:basedOn w:val="Base"/>
    <w:next w:val="BodyText"/>
    <w:link w:val="PinkBarChar"/>
    <w:rsid w:val="00F3129B"/>
    <w:pPr>
      <w:keepNext/>
      <w:keepLines/>
    </w:pPr>
    <w:rPr>
      <w:sz w:val="2"/>
    </w:rPr>
  </w:style>
  <w:style w:type="character" w:customStyle="1" w:styleId="PinkBarChar">
    <w:name w:val="Pink Bar Char"/>
    <w:basedOn w:val="BaseChar"/>
    <w:link w:val="PinkBar"/>
    <w:rsid w:val="00F3129B"/>
    <w:rPr>
      <w:sz w:val="2"/>
    </w:rPr>
  </w:style>
  <w:style w:type="paragraph" w:styleId="BodyTextIndent">
    <w:name w:val="Body Text Indent"/>
    <w:basedOn w:val="BodyText"/>
    <w:link w:val="BodyTextIndentChar"/>
    <w:uiPriority w:val="99"/>
    <w:unhideWhenUsed/>
    <w:rsid w:val="00C4055C"/>
    <w:pPr>
      <w:ind w:left="680"/>
    </w:pPr>
  </w:style>
  <w:style w:type="character" w:customStyle="1" w:styleId="BodyTextIndentChar">
    <w:name w:val="Body Text Indent Char"/>
    <w:basedOn w:val="DefaultParagraphFont"/>
    <w:link w:val="BodyTextIndent"/>
    <w:uiPriority w:val="99"/>
    <w:rsid w:val="00C4055C"/>
    <w:rPr>
      <w:sz w:val="20"/>
    </w:rPr>
  </w:style>
  <w:style w:type="paragraph" w:styleId="ListParagraph">
    <w:name w:val="List Paragraph"/>
    <w:basedOn w:val="Normal"/>
    <w:uiPriority w:val="34"/>
    <w:qFormat/>
    <w:rsid w:val="00986435"/>
    <w:pPr>
      <w:ind w:left="720"/>
    </w:pPr>
  </w:style>
  <w:style w:type="paragraph" w:customStyle="1" w:styleId="CEBAppPrimaryHeading">
    <w:name w:val="CEB App Primary Heading"/>
    <w:basedOn w:val="Normal"/>
    <w:link w:val="CEBAppPrimaryHeadingChar"/>
    <w:qFormat/>
    <w:rsid w:val="00986435"/>
    <w:pPr>
      <w:spacing w:before="120" w:after="120" w:line="288" w:lineRule="auto"/>
      <w:jc w:val="both"/>
    </w:pPr>
    <w:rPr>
      <w:rFonts w:ascii="Arial" w:eastAsia="Times New Roman" w:hAnsi="Arial"/>
      <w:noProof/>
      <w:color w:val="747678"/>
      <w:sz w:val="28"/>
      <w:szCs w:val="28"/>
      <w:lang w:val="x-none"/>
    </w:rPr>
  </w:style>
  <w:style w:type="character" w:customStyle="1" w:styleId="CEBAppPrimaryHeadingChar">
    <w:name w:val="CEB App Primary Heading Char"/>
    <w:link w:val="CEBAppPrimaryHeading"/>
    <w:rsid w:val="00986435"/>
    <w:rPr>
      <w:rFonts w:ascii="Arial" w:eastAsia="Times New Roman" w:hAnsi="Arial" w:cs="Times New Roman"/>
      <w:noProof/>
      <w:color w:val="747678"/>
      <w:sz w:val="28"/>
      <w:szCs w:val="28"/>
      <w:lang w:val="x-none"/>
    </w:rPr>
  </w:style>
  <w:style w:type="paragraph" w:styleId="Revision">
    <w:name w:val="Revision"/>
    <w:hidden/>
    <w:uiPriority w:val="99"/>
    <w:semiHidden/>
    <w:rsid w:val="00275F0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70CBE"/>
    <w:rPr>
      <w:sz w:val="16"/>
      <w:szCs w:val="16"/>
    </w:rPr>
  </w:style>
  <w:style w:type="paragraph" w:styleId="CommentText">
    <w:name w:val="annotation text"/>
    <w:basedOn w:val="Normal"/>
    <w:link w:val="CommentTextChar"/>
    <w:uiPriority w:val="99"/>
    <w:unhideWhenUsed/>
    <w:rsid w:val="00270CBE"/>
    <w:rPr>
      <w:sz w:val="20"/>
      <w:szCs w:val="20"/>
    </w:rPr>
  </w:style>
  <w:style w:type="character" w:customStyle="1" w:styleId="CommentTextChar">
    <w:name w:val="Comment Text Char"/>
    <w:basedOn w:val="DefaultParagraphFont"/>
    <w:link w:val="CommentText"/>
    <w:uiPriority w:val="99"/>
    <w:rsid w:val="00270C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0CBE"/>
    <w:rPr>
      <w:b/>
      <w:bCs/>
    </w:rPr>
  </w:style>
  <w:style w:type="character" w:customStyle="1" w:styleId="CommentSubjectChar">
    <w:name w:val="Comment Subject Char"/>
    <w:basedOn w:val="CommentTextChar"/>
    <w:link w:val="CommentSubject"/>
    <w:uiPriority w:val="99"/>
    <w:semiHidden/>
    <w:rsid w:val="00270CBE"/>
    <w:rPr>
      <w:rFonts w:ascii="Calibri" w:eastAsia="Calibri" w:hAnsi="Calibri" w:cs="Times New Roman"/>
      <w:b/>
      <w:bCs/>
      <w:sz w:val="20"/>
      <w:szCs w:val="20"/>
    </w:rPr>
  </w:style>
  <w:style w:type="character" w:styleId="Mention">
    <w:name w:val="Mention"/>
    <w:basedOn w:val="DefaultParagraphFont"/>
    <w:uiPriority w:val="99"/>
    <w:unhideWhenUsed/>
    <w:rsid w:val="00270CBE"/>
    <w:rPr>
      <w:color w:val="2B579A"/>
      <w:shd w:val="clear" w:color="auto" w:fill="E1DFDD"/>
    </w:rPr>
  </w:style>
  <w:style w:type="paragraph" w:customStyle="1" w:styleId="HeaderBodyText1">
    <w:name w:val="Header Body Text 1"/>
    <w:basedOn w:val="Normal"/>
    <w:qFormat/>
    <w:rsid w:val="00956829"/>
    <w:rPr>
      <w:rFonts w:ascii="Arial" w:eastAsia="MS Mincho" w:hAnsi="Arial" w:cs="Arial"/>
      <w:b/>
      <w:bCs/>
      <w:noProof/>
      <w:color w:val="000000" w:themeColor="text1"/>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3419">
      <w:bodyDiv w:val="1"/>
      <w:marLeft w:val="0"/>
      <w:marRight w:val="0"/>
      <w:marTop w:val="0"/>
      <w:marBottom w:val="0"/>
      <w:divBdr>
        <w:top w:val="none" w:sz="0" w:space="0" w:color="auto"/>
        <w:left w:val="none" w:sz="0" w:space="0" w:color="auto"/>
        <w:bottom w:val="none" w:sz="0" w:space="0" w:color="auto"/>
        <w:right w:val="none" w:sz="0" w:space="0" w:color="auto"/>
      </w:divBdr>
    </w:div>
    <w:div w:id="13800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Office16\STARTUP\Templates\Blank.dotx" TargetMode="External"/></Relationships>
</file>

<file path=word/theme/theme1.xml><?xml version="1.0" encoding="utf-8"?>
<a:theme xmlns:a="http://schemas.openxmlformats.org/drawingml/2006/main" name="Office Theme">
  <a:themeElements>
    <a:clrScheme name="Redington Documents">
      <a:dk1>
        <a:srgbClr val="000000"/>
      </a:dk1>
      <a:lt1>
        <a:srgbClr val="FFFFFF"/>
      </a:lt1>
      <a:dk2>
        <a:srgbClr val="E90A5B"/>
      </a:dk2>
      <a:lt2>
        <a:srgbClr val="D3D7DA"/>
      </a:lt2>
      <a:accent1>
        <a:srgbClr val="307FE2"/>
      </a:accent1>
      <a:accent2>
        <a:srgbClr val="59CBE8"/>
      </a:accent2>
      <a:accent3>
        <a:srgbClr val="AD96DC"/>
      </a:accent3>
      <a:accent4>
        <a:srgbClr val="E782A9"/>
      </a:accent4>
      <a:accent5>
        <a:srgbClr val="80276C"/>
      </a:accent5>
      <a:accent6>
        <a:srgbClr val="563D82"/>
      </a:accent6>
      <a:hlink>
        <a:srgbClr val="E90A5B"/>
      </a:hlink>
      <a:folHlink>
        <a:srgbClr val="E90A5B"/>
      </a:folHlink>
    </a:clrScheme>
    <a:fontScheme name="Redington 2021">
      <a:majorFont>
        <a:latin typeface="Arial Black"/>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296806438394bc3b68462af87de8d94 xmlns="ce488957-9d94-4666-b40d-b0b3531678fc">
      <Terms xmlns="http://schemas.microsoft.com/office/infopath/2007/PartnerControls"/>
    </j296806438394bc3b68462af87de8d94>
    <me98e14a7db14504becfa831619ce0a7 xmlns="ce488957-9d94-4666-b40d-b0b3531678fc">
      <Terms xmlns="http://schemas.microsoft.com/office/infopath/2007/PartnerControls">
        <TermInfo xmlns="http://schemas.microsoft.com/office/infopath/2007/PartnerControls">
          <TermName xmlns="http://schemas.microsoft.com/office/infopath/2007/PartnerControls">Reuters Pension Fund</TermName>
          <TermId xmlns="http://schemas.microsoft.com/office/infopath/2007/PartnerControls">c7a5728e-9864-4e97-9dd3-1af3da4b9dd0</TermId>
        </TermInfo>
      </Terms>
    </me98e14a7db14504becfa831619ce0a7>
    <TaxCatchAll xmlns="d265ecec-6342-408f-9a1f-54c3b48628f5">
      <Value>11</Value>
      <Value>1</Value>
    </TaxCatchAll>
    <da2ad99944894916a7c4610f28c71d43 xmlns="ce488957-9d94-4666-b40d-b0b3531678fc">
      <Terms xmlns="http://schemas.microsoft.com/office/infopath/2007/PartnerControls">
        <TermInfo xmlns="http://schemas.microsoft.com/office/infopath/2007/PartnerControls">
          <TermName xmlns="http://schemas.microsoft.com/office/infopath/2007/PartnerControls">Scheme documents - Reports ＆ Accounts</TermName>
          <TermId xmlns="http://schemas.microsoft.com/office/infopath/2007/PartnerControls">5e2e650f-8338-410f-9182-376dfd6967f7</TermId>
        </TermInfo>
      </Terms>
    </da2ad99944894916a7c4610f28c71d4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46AFD1B41D94BA3FCE5111AD59307" ma:contentTypeVersion="17" ma:contentTypeDescription="Create a new document." ma:contentTypeScope="" ma:versionID="de1f18db99aae828e38d2c0c97436614">
  <xsd:schema xmlns:xsd="http://www.w3.org/2001/XMLSchema" xmlns:xs="http://www.w3.org/2001/XMLSchema" xmlns:p="http://schemas.microsoft.com/office/2006/metadata/properties" xmlns:ns2="ce488957-9d94-4666-b40d-b0b3531678fc" xmlns:ns3="d265ecec-6342-408f-9a1f-54c3b48628f5" targetNamespace="http://schemas.microsoft.com/office/2006/metadata/properties" ma:root="true" ma:fieldsID="7de49ee1c41170aa6520d64f8815be70" ns2:_="" ns3:_="">
    <xsd:import namespace="ce488957-9d94-4666-b40d-b0b3531678fc"/>
    <xsd:import namespace="d265ecec-6342-408f-9a1f-54c3b48628f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98e14a7db14504becfa831619ce0a7" minOccurs="0"/>
                <xsd:element ref="ns3:TaxCatchAll" minOccurs="0"/>
                <xsd:element ref="ns2:da2ad99944894916a7c4610f28c71d43" minOccurs="0"/>
                <xsd:element ref="ns2:j296806438394bc3b68462af87de8d94"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88957-9d94-4666-b40d-b0b353167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98e14a7db14504becfa831619ce0a7" ma:index="13" nillable="true" ma:taxonomy="true" ma:internalName="me98e14a7db14504becfa831619ce0a7" ma:taxonomyFieldName="Client" ma:displayName="Client" ma:default="1;#Reuters Pension Fund|c7a5728e-9864-4e97-9dd3-1af3da4b9dd0" ma:fieldId="{6e98e14a-7db1-4504-becf-a831619ce0a7}" ma:sspId="72bc2bf4-6752-4f62-bb94-f7d8bd468644" ma:termSetId="3c48da2c-8ea0-4bbf-957b-7fd8bcda7d4f" ma:anchorId="c7a5728e-9864-4e97-9dd3-1af3da4b9dd0" ma:open="true" ma:isKeyword="false">
      <xsd:complexType>
        <xsd:sequence>
          <xsd:element ref="pc:Terms" minOccurs="0" maxOccurs="1"/>
        </xsd:sequence>
      </xsd:complexType>
    </xsd:element>
    <xsd:element name="da2ad99944894916a7c4610f28c71d43" ma:index="16" nillable="true" ma:taxonomy="true" ma:internalName="da2ad99944894916a7c4610f28c71d43" ma:taxonomyFieldName="Document_x0020_Type" ma:displayName="Document Type" ma:default="" ma:fieldId="{da2ad999-4489-4916-a7c4-610f28c71d43}" ma:sspId="72bc2bf4-6752-4f62-bb94-f7d8bd468644" ma:termSetId="4d9938c4-b514-4e6f-a23f-84744c259722" ma:anchorId="00000000-0000-0000-0000-000000000000" ma:open="false" ma:isKeyword="false">
      <xsd:complexType>
        <xsd:sequence>
          <xsd:element ref="pc:Terms" minOccurs="0" maxOccurs="1"/>
        </xsd:sequence>
      </xsd:complexType>
    </xsd:element>
    <xsd:element name="j296806438394bc3b68462af87de8d94" ma:index="18" nillable="true" ma:taxonomy="true" ma:internalName="j296806438394bc3b68462af87de8d94" ma:taxonomyFieldName="Topics" ma:displayName="Topics" ma:default="" ma:fieldId="{32968064-3839-4bc3-b684-62af87de8d94}" ma:sspId="72bc2bf4-6752-4f62-bb94-f7d8bd468644" ma:termSetId="d378737f-be9e-4ad8-a007-7064a4ca6ff1" ma:anchorId="00000000-0000-0000-0000-000000000000"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5ecec-6342-408f-9a1f-54c3b48628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eb1d3b-15ab-4035-ab86-280eeb3e8a96}" ma:internalName="TaxCatchAll" ma:showField="CatchAllData" ma:web="d265ecec-6342-408f-9a1f-54c3b48628f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F6BD-906A-4075-8FBC-EFBFE53DB66A}">
  <ds:schemaRefs>
    <ds:schemaRef ds:uri="http://schemas.microsoft.com/office/2006/metadata/properties"/>
    <ds:schemaRef ds:uri="http://www.w3.org/2000/xmlns/"/>
    <ds:schemaRef ds:uri="ce488957-9d94-4666-b40d-b0b3531678fc"/>
    <ds:schemaRef ds:uri="http://schemas.microsoft.com/office/infopath/2007/PartnerControls"/>
    <ds:schemaRef ds:uri="d265ecec-6342-408f-9a1f-54c3b48628f5"/>
  </ds:schemaRefs>
</ds:datastoreItem>
</file>

<file path=customXml/itemProps2.xml><?xml version="1.0" encoding="utf-8"?>
<ds:datastoreItem xmlns:ds="http://schemas.openxmlformats.org/officeDocument/2006/customXml" ds:itemID="{56AB222A-2D96-48C4-B063-4AFFA28B984F}">
  <ds:schemaRefs>
    <ds:schemaRef ds:uri="http://schemas.microsoft.com/office/2006/metadata/contentType"/>
    <ds:schemaRef ds:uri="http://schemas.microsoft.com/office/2006/metadata/properties/metaAttributes"/>
    <ds:schemaRef ds:uri="http://www.w3.org/2000/xmlns/"/>
    <ds:schemaRef ds:uri="http://www.w3.org/2001/XMLSchema"/>
    <ds:schemaRef ds:uri="ce488957-9d94-4666-b40d-b0b3531678fc"/>
    <ds:schemaRef ds:uri="d265ecec-6342-408f-9a1f-54c3b48628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C6ABF-A8D7-41E4-B4BB-7648E76C0B2C}">
  <ds:schemaRefs>
    <ds:schemaRef ds:uri="http://schemas.microsoft.com/sharepoint/v3/contenttype/forms"/>
  </ds:schemaRefs>
</ds:datastoreItem>
</file>

<file path=customXml/itemProps4.xml><?xml version="1.0" encoding="utf-8"?>
<ds:datastoreItem xmlns:ds="http://schemas.openxmlformats.org/officeDocument/2006/customXml" ds:itemID="{23D1583D-E088-4F9B-9803-55B14272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Iona Young | Redington</dc:creator>
  <cp:keywords/>
  <dc:description/>
  <cp:lastModifiedBy>Bryna Brady</cp:lastModifiedBy>
  <cp:revision>6</cp:revision>
  <dcterms:created xsi:type="dcterms:W3CDTF">2023-08-22T13:47:00Z</dcterms:created>
  <dcterms:modified xsi:type="dcterms:W3CDTF">2023-08-30T14:31:00Z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
    <vt:lpwstr>Coverpage!Source=CoverPage</vt:lpwstr>
  </property>
  <property fmtid="{D5CDD505-2E9C-101B-9397-08002B2CF9AE}" pid="3" name="Document Type">
    <vt:lpwstr>11;#Scheme documents - Reports ＆ Accounts|5e2e650f-8338-410f-9182-376dfd6967f7</vt:lpwstr>
  </property>
  <property fmtid="{D5CDD505-2E9C-101B-9397-08002B2CF9AE}" pid="4" name="Distribution">
    <vt:lpwstr>Private and Confidential</vt:lpwstr>
  </property>
  <property fmtid="{D5CDD505-2E9C-101B-9397-08002B2CF9AE}" pid="5" name="ContentTypeId">
    <vt:lpwstr>0x010100EBB46AFD1B41D94BA3FCE5111AD59307</vt:lpwstr>
  </property>
  <property fmtid="{D5CDD505-2E9C-101B-9397-08002B2CF9AE}" pid="6" name="Topics">
    <vt:lpwstr/>
  </property>
  <property fmtid="{D5CDD505-2E9C-101B-9397-08002B2CF9AE}" pid="7" name="Client">
    <vt:lpwstr>1;#Reuters Pension Fund|c7a5728e-9864-4e97-9dd3-1af3da4b9dd0</vt:lpwstr>
  </property>
</Properties>
</file>